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83" w:rsidRDefault="00482E83" w:rsidP="00F271AD">
      <w:pPr>
        <w:pStyle w:val="Nadpis1"/>
        <w:numPr>
          <w:ilvl w:val="0"/>
          <w:numId w:val="0"/>
        </w:numPr>
        <w:tabs>
          <w:tab w:val="left" w:pos="708"/>
        </w:tabs>
        <w:rPr>
          <w:sz w:val="40"/>
        </w:rPr>
      </w:pPr>
      <w:r>
        <w:t xml:space="preserve">Metodika přepočtu TDD na </w:t>
      </w:r>
      <w:r w:rsidR="009A3B5F">
        <w:t xml:space="preserve">skutečné </w:t>
      </w:r>
      <w:r>
        <w:t>venkovní teploty</w:t>
      </w:r>
    </w:p>
    <w:p w:rsidR="00482E83" w:rsidRDefault="00482E83" w:rsidP="00A7306D">
      <w:pPr>
        <w:pStyle w:val="Nadpisvtextu"/>
        <w:rPr>
          <w:color w:val="0070C0"/>
        </w:rPr>
      </w:pPr>
      <w:r>
        <w:rPr>
          <w:rStyle w:val="NadpispoznmkyChar"/>
          <w:color w:val="0070C0"/>
        </w:rPr>
        <w:t xml:space="preserve">Konečná verze platná pro rok </w:t>
      </w:r>
      <w:r w:rsidRPr="00C16925">
        <w:rPr>
          <w:rStyle w:val="NadpispoznmkyChar"/>
          <w:color w:val="0070C0"/>
        </w:rPr>
        <w:t>20</w:t>
      </w:r>
      <w:r w:rsidR="003B67D2">
        <w:rPr>
          <w:rStyle w:val="NadpispoznmkyChar"/>
          <w:color w:val="0070C0"/>
        </w:rPr>
        <w:t>20</w:t>
      </w:r>
    </w:p>
    <w:p w:rsidR="00482E83" w:rsidRDefault="00482E83" w:rsidP="00F271AD">
      <w:pPr>
        <w:pStyle w:val="Normln10"/>
        <w:rPr>
          <w:color w:val="auto"/>
        </w:rPr>
      </w:pPr>
      <w:r>
        <w:t>Cílem předkládané metodiky je definovat konkrétní algoritmy pro přepočet TDD stanoveného pro normálové průměrné denní teploty na TDD respektující skutečné denní průměrné teploty. Jde tedy o stanovení koeficientu, který bude platný pro daný obchodní den a bude respektovat vliv skutečné teploty v daném dni na zatížení. Tímto koeficientem se vynásobí 24 hodinových hodnot normalizovaného TDD a stanoví se tak TDD přepočtený na skutečnou průměrnou teplotu.</w:t>
      </w:r>
    </w:p>
    <w:p w:rsidR="00482E83" w:rsidRDefault="00482E83" w:rsidP="00482E83">
      <w:pPr>
        <w:pStyle w:val="Normln10"/>
      </w:pPr>
      <w:r>
        <w:t>Metodika teplotních přepočtů byla poprvé vytvořena v roce 2004, od této doby byla každoročně aktualizována.</w:t>
      </w:r>
    </w:p>
    <w:p w:rsidR="00482E83" w:rsidRDefault="00482E83" w:rsidP="00482E83">
      <w:pPr>
        <w:pStyle w:val="Normln10"/>
      </w:pPr>
      <w:r>
        <w:t>Nynější předkládaný materiál obsahuje metodiku teplotních přepočtů platnou pro příští rok, věcně doplňuje konečnou podobu souboru všech TDD pro příští rok. Oproti loňsku nedošlo v samotné metodice k žádným změnám, aktualizovány jsou tedy pouze hodnoty regresních koeficientů, platné pro příští rok.</w:t>
      </w:r>
    </w:p>
    <w:p w:rsidR="00482E83" w:rsidRDefault="00482E83" w:rsidP="00482E83">
      <w:pPr>
        <w:pStyle w:val="Normln10"/>
      </w:pPr>
      <w:r>
        <w:t>Při výpočtu hodnot regresních koeficientů byly využity nejen TDD z posledního uceleného roku měření, ale i historické TDD z let předchozích. Využitím většího množství dat došlo k určitému vyhlazení hodnot regresních koeficientů. Konkrétní kroky při stanovení výsledných regresních koeficientů nejsou v rámci tohoto materiálu uváděny, neboť regresní koeficienty jsou pouze vstupem do metodiky teplotních přepočtů TDD a přesný způsob jejich stanovení se tedy této metodiky bezprostředně netýká.</w:t>
      </w:r>
    </w:p>
    <w:p w:rsidR="00482E83" w:rsidRDefault="00482E83" w:rsidP="00482E83">
      <w:pPr>
        <w:pStyle w:val="Normln10"/>
      </w:pPr>
      <w:r>
        <w:t>Postup přepočtu normálového TDD na skutečný TDD odpovídá teoretickým postupům při vytváření TDD, kdy se stanovuje normálový TDD z TDD sestaveného z naměřených dat za ucelené období v minulosti. Zde se vždy stanovují základní vazby mezi teplotou a zatížením, reprezentovaným TDD. Možná je</w:t>
      </w:r>
      <w:r w:rsidR="00921CAD">
        <w:t> </w:t>
      </w:r>
      <w:r>
        <w:t>poněkud nezvyklé, aby se při přepočtu hledal vztah mezi teplotou a průběhem bezrozměrných čísel (TDD), ale je třeba si uvědomit, že je to svým způsobem také průběh zatížení, vyjádřený pouze „v relaci“. Použitý matematický model zajišťuje, že vazba mezi teplotou a daným TDD je shodná jako vazba mezi teplotou a odběrem stanoveným na základě tohoto TDD. Mění se pouze její číselné vyjádření, a to přímo úměrně s dosazenou energií diagramu (spotřebou). Obecně se tedy dá říci, že výsledky postupu v</w:t>
      </w:r>
      <w:r w:rsidR="00921CAD">
        <w:t> </w:t>
      </w:r>
      <w:r>
        <w:t>případě, kdy se nejprve přepočte TDD a teprve pak se z něj získá konkrétní odběr, jsou shodné výsledkům postupu, kdy by se nejprve získal z TDD odběrový diagram a ten se teprve přepočítal na</w:t>
      </w:r>
      <w:r w:rsidR="00921CAD">
        <w:t> </w:t>
      </w:r>
      <w:r>
        <w:t xml:space="preserve">skutečné teploty. </w:t>
      </w:r>
    </w:p>
    <w:p w:rsidR="00482E83" w:rsidRDefault="00482E83" w:rsidP="00482E83">
      <w:pPr>
        <w:pStyle w:val="Normln10"/>
      </w:pPr>
      <w:r>
        <w:t>Před vlastním popisem postupů je ještě dobré uvést, že při zpracování výstupů se zpracovatelé drží zavedeného označování bilančních oblastí, to znamená, že i přes existenci skupin E.ON a ČEZ jsou při</w:t>
      </w:r>
      <w:r w:rsidR="00921CAD">
        <w:t> </w:t>
      </w:r>
      <w:r>
        <w:t>analýzách používány názvy JME, ZČE atd.</w:t>
      </w:r>
    </w:p>
    <w:p w:rsidR="00482E83" w:rsidRDefault="00482E83" w:rsidP="00482E83">
      <w:pPr>
        <w:pStyle w:val="Normln10"/>
      </w:pPr>
    </w:p>
    <w:p w:rsidR="00482E83" w:rsidRDefault="00482E83" w:rsidP="00482E83">
      <w:pPr>
        <w:pStyle w:val="Normln10"/>
      </w:pPr>
    </w:p>
    <w:p w:rsidR="00482E83" w:rsidRDefault="00482E83" w:rsidP="00482E83">
      <w:pPr>
        <w:pStyle w:val="Normln10"/>
      </w:pPr>
    </w:p>
    <w:p w:rsidR="00482E83" w:rsidRDefault="00482E83" w:rsidP="00482E83">
      <w:pPr>
        <w:pStyle w:val="Normln10"/>
      </w:pPr>
    </w:p>
    <w:p w:rsidR="00482E83" w:rsidRPr="00E85225" w:rsidRDefault="00482E83" w:rsidP="00E85225">
      <w:pPr>
        <w:pStyle w:val="Nadpis1"/>
        <w:numPr>
          <w:ilvl w:val="0"/>
          <w:numId w:val="30"/>
        </w:numPr>
      </w:pPr>
      <w:r w:rsidRPr="00E85225">
        <w:lastRenderedPageBreak/>
        <w:t>Postup při stanovení normálových TDD</w:t>
      </w:r>
    </w:p>
    <w:p w:rsidR="00482E83" w:rsidRDefault="00482E83" w:rsidP="00A7306D">
      <w:pPr>
        <w:pStyle w:val="Normln10"/>
      </w:pPr>
      <w:r>
        <w:t>Základem při tomto postupu je dekompozice průběhu zatížení na více složek (průběhů) s jasně definovaným vztahem k teplotě. Tyto složky jsou definovány pomocí regresní rovnice, jejíž konkrétní podoba vyjadřuje konkrétní vztah zatížení na teplotě. Na základě dříve provedených analýz je regresní rovnice vyjádřena pomocí modifikované exponenciální závislosti.</w:t>
      </w:r>
    </w:p>
    <w:p w:rsidR="00482E83" w:rsidRDefault="00482E83" w:rsidP="00482E83">
      <w:pPr>
        <w:pStyle w:val="Normln10"/>
      </w:pPr>
      <w:r>
        <w:t>Modifikovaná exponenciální regresní rovnice (s využitím logistické trendové funkce; S-křivka) má následující podobu:</w:t>
      </w:r>
    </w:p>
    <w:p w:rsidR="00482E83" w:rsidRDefault="00430A13" w:rsidP="00430A13">
      <w:pPr>
        <w:pStyle w:val="Normln10"/>
        <w:tabs>
          <w:tab w:val="right" w:pos="9072"/>
        </w:tabs>
      </w:pP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ODH</m:t>
            </m:r>
          </m:sub>
          <m:sup>
            <m:r>
              <w:rPr>
                <w:rFonts w:ascii="Cambria Math" w:hAnsi="Cambria Math"/>
                <w:sz w:val="22"/>
                <w:szCs w:val="22"/>
              </w:rPr>
              <m:t>d</m:t>
            </m:r>
          </m:sup>
        </m:sSubSup>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d</m:t>
            </m:r>
          </m:sub>
        </m:sSub>
        <m:r>
          <w:rPr>
            <w:rFonts w:ascii="Cambria Math" w:hAnsi="Cambria Math" w:cs="Cambria Math"/>
            <w:sz w:val="22"/>
            <w:szCs w:val="22"/>
          </w:rPr>
          <m:t>⋅</m:t>
        </m:r>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r>
          <w:rPr>
            <w:rFonts w:ascii="Cambria Math" w:hAnsi="Cambria Math" w:cs="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sub>
        </m:sSub>
        <m:r>
          <w:rPr>
            <w:rFonts w:ascii="Cambria Math" w:hAnsi="Cambria Math" w:cs="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sk</m:t>
                                </m:r>
                              </m:sub>
                            </m:sSub>
                          </m:e>
                        </m:d>
                      </m:e>
                    </m:d>
                  </m:e>
                </m:func>
              </m:den>
            </m:f>
            <m:r>
              <w:rPr>
                <w:rFonts w:ascii="Cambria Math" w:hAnsi="Cambria Math"/>
                <w:sz w:val="22"/>
                <w:szCs w:val="22"/>
              </w:rPr>
              <m:t>-0.5</m:t>
            </m:r>
          </m:e>
        </m:d>
      </m:oMath>
      <w:r w:rsidR="007B5361">
        <w:tab/>
      </w:r>
      <w:r w:rsidR="00482E83">
        <w:t>(1)</w:t>
      </w:r>
    </w:p>
    <w:p w:rsidR="00482E83" w:rsidRDefault="00482E83" w:rsidP="00482E83">
      <w:r>
        <w:t>kde</w:t>
      </w:r>
    </w:p>
    <w:p w:rsidR="00482E83" w:rsidRDefault="00430A13" w:rsidP="00430A13">
      <w:pPr>
        <w:pStyle w:val="Seznam11"/>
        <w:numPr>
          <w:ilvl w:val="0"/>
          <w:numId w:val="0"/>
        </w:numPr>
        <w:ind w:left="672"/>
      </w:pP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ODH</m:t>
            </m:r>
          </m:sub>
          <m:sup>
            <m:r>
              <w:rPr>
                <w:rFonts w:ascii="Cambria Math"/>
                <w:sz w:val="22"/>
                <w:szCs w:val="22"/>
              </w:rPr>
              <m:t>d</m:t>
            </m:r>
          </m:sup>
        </m:sSubSup>
      </m:oMath>
      <w:r w:rsidR="00482E83">
        <w:tab/>
        <w:t>denní průměrná hodnota odhadovaného (teoretického) průběhu TDD,</w:t>
      </w:r>
    </w:p>
    <w:p w:rsidR="00482E83" w:rsidRDefault="00430A13" w:rsidP="00430A13">
      <w:pPr>
        <w:pStyle w:val="Seznam11"/>
        <w:numPr>
          <w:ilvl w:val="0"/>
          <w:numId w:val="0"/>
        </w:numPr>
        <w:ind w:left="672"/>
      </w:pPr>
      <m:oMath>
        <m:r>
          <w:rPr>
            <w:rFonts w:ascii="Cambria Math"/>
            <w:sz w:val="22"/>
            <w:szCs w:val="22"/>
          </w:rPr>
          <m:t>K</m:t>
        </m:r>
      </m:oMath>
      <w:r w:rsidR="00482E83">
        <w:tab/>
      </w:r>
      <w:r w:rsidR="00482E83">
        <w:tab/>
        <w:t>konstantní složka nezávislá na teplotě,</w:t>
      </w:r>
    </w:p>
    <w:p w:rsidR="00482E83" w:rsidRDefault="00E46DF3" w:rsidP="00430A13">
      <w:pPr>
        <w:pStyle w:val="Seznam11"/>
        <w:numPr>
          <w:ilvl w:val="0"/>
          <w:numId w:val="0"/>
        </w:numPr>
        <w:ind w:left="2127" w:hanging="1455"/>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d</m:t>
            </m:r>
          </m:sub>
        </m:sSub>
      </m:oMath>
      <w:r w:rsidR="00482E83">
        <w:tab/>
        <w:t>regresní koeficient trendu,</w:t>
      </w:r>
    </w:p>
    <w:p w:rsidR="00482E83" w:rsidRDefault="00430A13" w:rsidP="00430A13">
      <w:pPr>
        <w:pStyle w:val="Seznam11"/>
        <w:numPr>
          <w:ilvl w:val="0"/>
          <w:numId w:val="0"/>
        </w:numPr>
        <w:ind w:left="2127" w:hanging="1455"/>
      </w:pPr>
      <m:oMath>
        <m:r>
          <w:rPr>
            <w:rFonts w:ascii="Cambria Math"/>
            <w:sz w:val="22"/>
            <w:szCs w:val="22"/>
          </w:rPr>
          <m:t>D</m:t>
        </m:r>
      </m:oMath>
      <w:r w:rsidR="00482E83">
        <w:tab/>
        <w:t>pořadí dne v roce,</w:t>
      </w:r>
    </w:p>
    <w:p w:rsidR="00482E83" w:rsidRDefault="00E46DF3" w:rsidP="00430A13">
      <w:pPr>
        <w:pStyle w:val="Seznam11"/>
        <w:numPr>
          <w:ilvl w:val="0"/>
          <w:numId w:val="0"/>
        </w:numPr>
        <w:ind w:left="2127" w:hanging="1455"/>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p</m:t>
            </m:r>
          </m:sub>
        </m:sSub>
      </m:oMath>
      <w:r w:rsidR="00482E83">
        <w:tab/>
        <w:t>regresní koeficient normálové teploty,</w:t>
      </w:r>
    </w:p>
    <w:p w:rsidR="00482E83" w:rsidRDefault="00E46DF3" w:rsidP="00430A13">
      <w:pPr>
        <w:pStyle w:val="Seznam11"/>
        <w:numPr>
          <w:ilvl w:val="0"/>
          <w:numId w:val="0"/>
        </w:numPr>
        <w:ind w:left="2127" w:hanging="1455"/>
      </w:pPr>
      <m:oMath>
        <m:sSub>
          <m:sSubPr>
            <m:ctrlPr>
              <w:rPr>
                <w:rFonts w:ascii="Cambria Math" w:hAnsi="Cambria Math"/>
                <w:i/>
                <w:sz w:val="22"/>
                <w:szCs w:val="22"/>
              </w:rPr>
            </m:ctrlPr>
          </m:sSubPr>
          <m:e>
            <m:r>
              <w:rPr>
                <w:rFonts w:ascii="Cambria Math"/>
                <w:sz w:val="22"/>
                <w:szCs w:val="22"/>
              </w:rPr>
              <m:t>T</m:t>
            </m:r>
          </m:e>
          <m:sub>
            <m:r>
              <w:rPr>
                <w:rFonts w:ascii="Cambria Math"/>
                <w:sz w:val="22"/>
                <w:szCs w:val="22"/>
              </w:rPr>
              <m:t>p</m:t>
            </m:r>
          </m:sub>
        </m:sSub>
      </m:oMath>
      <w:r w:rsidR="00482E83">
        <w:tab/>
        <w:t>denní průměrná hodnota normálové teploty,</w:t>
      </w:r>
    </w:p>
    <w:p w:rsidR="00482E83" w:rsidRDefault="00E46DF3" w:rsidP="00430A13">
      <w:pPr>
        <w:pStyle w:val="Seznam11"/>
        <w:numPr>
          <w:ilvl w:val="0"/>
          <w:numId w:val="0"/>
        </w:numPr>
        <w:ind w:left="709" w:hanging="37"/>
      </w:pPr>
      <m:oMath>
        <m:sSub>
          <m:sSubPr>
            <m:ctrlPr>
              <w:rPr>
                <w:rFonts w:ascii="Cambria Math" w:hAnsi="Cambria Math"/>
                <w:i/>
                <w:sz w:val="22"/>
                <w:szCs w:val="22"/>
              </w:rPr>
            </m:ctrlPr>
          </m:sSubPr>
          <m:e>
            <m:r>
              <w:rPr>
                <w:rFonts w:ascii="Cambria Math"/>
                <w:sz w:val="22"/>
                <w:szCs w:val="22"/>
              </w:rPr>
              <m:t>T</m:t>
            </m:r>
          </m:e>
          <m:sub>
            <m:r>
              <w:rPr>
                <w:rFonts w:ascii="Cambria Math"/>
                <w:sz w:val="22"/>
                <w:szCs w:val="22"/>
              </w:rPr>
              <m:t>sk</m:t>
            </m:r>
          </m:sub>
        </m:sSub>
      </m:oMath>
      <w:r w:rsidR="00482E83">
        <w:tab/>
      </w:r>
      <w:r w:rsidR="00482E83">
        <w:tab/>
        <w:t>denní průměrná hodnota skutečné teploty,</w:t>
      </w:r>
    </w:p>
    <w:p w:rsidR="00482E83" w:rsidRDefault="00E46DF3" w:rsidP="00430A13">
      <w:pPr>
        <w:pStyle w:val="Seznam11"/>
        <w:numPr>
          <w:ilvl w:val="0"/>
          <w:numId w:val="0"/>
        </w:numPr>
        <w:ind w:left="672"/>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n</m:t>
            </m:r>
          </m:sub>
        </m:sSub>
      </m:oMath>
      <w:r w:rsidR="00482E83">
        <w:tab/>
      </w:r>
      <w:r w:rsidR="00482E83">
        <w:tab/>
        <w:t xml:space="preserve">regresní koeficient udávající amplitudu nelineární složky, </w:t>
      </w:r>
    </w:p>
    <w:p w:rsidR="00482E83" w:rsidRDefault="00E46DF3" w:rsidP="00430A13">
      <w:pPr>
        <w:pStyle w:val="Seznam11"/>
        <w:numPr>
          <w:ilvl w:val="0"/>
          <w:numId w:val="0"/>
        </w:numPr>
        <w:ind w:left="2127" w:hanging="1455"/>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0</m:t>
            </m:r>
          </m:sub>
        </m:sSub>
      </m:oMath>
      <w:r w:rsidR="00482E83">
        <w:tab/>
        <w:t>regresní koeficient udávající teplotu v inflexním bodu nelineární funkční závislosti,</w:t>
      </w:r>
    </w:p>
    <w:p w:rsidR="00482E83" w:rsidRDefault="00E46DF3" w:rsidP="00BD753E">
      <w:pPr>
        <w:pStyle w:val="Seznam11"/>
        <w:numPr>
          <w:ilvl w:val="0"/>
          <w:numId w:val="0"/>
        </w:numPr>
        <w:ind w:left="672"/>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b</m:t>
            </m:r>
          </m:sub>
        </m:sSub>
      </m:oMath>
      <w:r w:rsidR="00482E83">
        <w:tab/>
      </w:r>
      <w:r w:rsidR="00482E83">
        <w:tab/>
        <w:t>regresní koeficient udávající rychlost nasycení nelineární složky.</w:t>
      </w:r>
    </w:p>
    <w:p w:rsidR="00482E83" w:rsidRDefault="00482E83" w:rsidP="00BD753E">
      <w:pPr>
        <w:pStyle w:val="Normln10"/>
        <w:spacing w:before="240"/>
      </w:pPr>
      <w:r>
        <w:t xml:space="preserve">Následující </w:t>
      </w:r>
      <w:r w:rsidR="00430A13">
        <w:t xml:space="preserve">obrázek </w:t>
      </w:r>
      <w:r w:rsidR="00430A13">
        <w:fldChar w:fldCharType="begin"/>
      </w:r>
      <w:r w:rsidR="00430A13">
        <w:instrText xml:space="preserve"> REF ObrVztSkuTepAZatSVyuLogFun \h </w:instrText>
      </w:r>
      <w:r w:rsidR="00430A13">
        <w:fldChar w:fldCharType="separate"/>
      </w:r>
      <w:r w:rsidR="00430A13">
        <w:rPr>
          <w:noProof/>
        </w:rPr>
        <w:t>1</w:t>
      </w:r>
      <w:r w:rsidR="00430A13">
        <w:t>.</w:t>
      </w:r>
      <w:r w:rsidR="00430A13">
        <w:rPr>
          <w:noProof/>
        </w:rPr>
        <w:t>1</w:t>
      </w:r>
      <w:r w:rsidR="00430A13">
        <w:fldChar w:fldCharType="end"/>
      </w:r>
      <w:r w:rsidR="00430A13">
        <w:t xml:space="preserve"> </w:t>
      </w:r>
      <w:r>
        <w:t>prezentuje modelovou závislost TDD na skutečné teplotě vyjádřenou pomocí logistické funkce.</w:t>
      </w:r>
    </w:p>
    <w:p w:rsidR="00482E83" w:rsidRDefault="00482E83" w:rsidP="00482E83">
      <w:pPr>
        <w:pStyle w:val="Normln10"/>
      </w:pPr>
    </w:p>
    <w:p w:rsidR="00482E83" w:rsidRDefault="00482E83" w:rsidP="00482E83">
      <w:pPr>
        <w:pStyle w:val="Normln10"/>
      </w:pPr>
    </w:p>
    <w:p w:rsidR="00482E83" w:rsidRDefault="00482E83" w:rsidP="00482E83">
      <w:pPr>
        <w:pStyle w:val="Normln10"/>
      </w:pPr>
    </w:p>
    <w:p w:rsidR="00430A13" w:rsidRDefault="00430A13" w:rsidP="00482E83">
      <w:pPr>
        <w:pStyle w:val="Normln10"/>
      </w:pPr>
    </w:p>
    <w:p w:rsidR="00430A13" w:rsidRDefault="00430A13" w:rsidP="00482E83">
      <w:pPr>
        <w:pStyle w:val="Normln10"/>
      </w:pPr>
    </w:p>
    <w:p w:rsidR="00430A13" w:rsidRDefault="00430A13" w:rsidP="00482E83">
      <w:pPr>
        <w:pStyle w:val="Normln10"/>
      </w:pPr>
    </w:p>
    <w:p w:rsidR="00430A13" w:rsidRDefault="00430A13" w:rsidP="00482E83">
      <w:pPr>
        <w:pStyle w:val="Normln10"/>
      </w:pPr>
    </w:p>
    <w:p w:rsidR="00BD753E" w:rsidRDefault="00BD753E" w:rsidP="00482E83">
      <w:pPr>
        <w:pStyle w:val="Normln10"/>
      </w:pPr>
    </w:p>
    <w:p w:rsidR="00482E83" w:rsidRDefault="00430A13" w:rsidP="00430A13">
      <w:pPr>
        <w:pStyle w:val="Titulek"/>
      </w:pPr>
      <w:bookmarkStart w:id="0" w:name="_Ref354740439"/>
      <w:r>
        <w:lastRenderedPageBreak/>
        <w:t xml:space="preserve">Obrázek </w:t>
      </w:r>
      <w:bookmarkStart w:id="1" w:name="ObrVztSkuTepAZatSVyuLogFun"/>
      <w:r w:rsidR="00830C94">
        <w:fldChar w:fldCharType="begin"/>
      </w:r>
      <w:r w:rsidR="00830C94">
        <w:instrText xml:space="preserve"> STYLEREF 1 \s </w:instrText>
      </w:r>
      <w:r w:rsidR="00830C94">
        <w:fldChar w:fldCharType="separate"/>
      </w:r>
      <w:r w:rsidR="00830C94">
        <w:rPr>
          <w:noProof/>
        </w:rPr>
        <w:t>1</w:t>
      </w:r>
      <w:r w:rsidR="00830C94">
        <w:fldChar w:fldCharType="end"/>
      </w:r>
      <w:r w:rsidR="00830C94">
        <w:t>.</w:t>
      </w:r>
      <w:r w:rsidR="00BD753E">
        <w:rPr>
          <w:noProof/>
        </w:rPr>
        <w:fldChar w:fldCharType="begin"/>
      </w:r>
      <w:r w:rsidR="00BD753E">
        <w:rPr>
          <w:noProof/>
        </w:rPr>
        <w:instrText xml:space="preserve"> SEQ Obrázek \* ARABIC \s 1 </w:instrText>
      </w:r>
      <w:r w:rsidR="00BD753E">
        <w:rPr>
          <w:noProof/>
        </w:rPr>
        <w:fldChar w:fldCharType="separate"/>
      </w:r>
      <w:r w:rsidR="00830C94">
        <w:rPr>
          <w:noProof/>
        </w:rPr>
        <w:t>1</w:t>
      </w:r>
      <w:r w:rsidR="00BD753E">
        <w:rPr>
          <w:noProof/>
        </w:rPr>
        <w:fldChar w:fldCharType="end"/>
      </w:r>
      <w:bookmarkEnd w:id="0"/>
      <w:bookmarkEnd w:id="1"/>
      <w:r>
        <w:tab/>
      </w:r>
      <w:r w:rsidR="00482E83">
        <w:t>Vztah skutečné teploty a zatížení s využitím logistické funkce</w:t>
      </w:r>
    </w:p>
    <w:p w:rsidR="00482E83" w:rsidRDefault="00482E83" w:rsidP="00482E83">
      <w:r>
        <w:rPr>
          <w:noProof/>
        </w:rPr>
        <mc:AlternateContent>
          <mc:Choice Requires="wpc">
            <w:drawing>
              <wp:inline distT="0" distB="0" distL="0" distR="0">
                <wp:extent cx="5287010" cy="3103245"/>
                <wp:effectExtent l="0" t="0" r="0" b="1905"/>
                <wp:docPr id="14" name="Plátn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a:off x="919135" y="1838931"/>
                            <a:ext cx="40226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2528812" y="459534"/>
                            <a:ext cx="0" cy="25286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4597262" y="1838931"/>
                            <a:ext cx="450043" cy="33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53E" w:rsidRDefault="00BD753E" w:rsidP="00482E83">
                              <w:pPr>
                                <w:rPr>
                                  <w:b/>
                                  <w:noProof/>
                                  <w:sz w:val="18"/>
                                  <w:szCs w:val="18"/>
                                  <w:vertAlign w:val="subscript"/>
                                </w:rPr>
                              </w:pPr>
                              <w:r>
                                <w:rPr>
                                  <w:b/>
                                  <w:noProof/>
                                  <w:sz w:val="18"/>
                                  <w:szCs w:val="18"/>
                                </w:rPr>
                                <w:t>T</w:t>
                              </w:r>
                              <w:r>
                                <w:rPr>
                                  <w:b/>
                                  <w:noProof/>
                                  <w:sz w:val="18"/>
                                  <w:szCs w:val="18"/>
                                  <w:vertAlign w:val="subscript"/>
                                </w:rPr>
                                <w:t>sk</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643108" y="344452"/>
                            <a:ext cx="1379496" cy="33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53E" w:rsidRDefault="00BD753E" w:rsidP="00482E83">
                              <w:pPr>
                                <w:rPr>
                                  <w:b/>
                                  <w:noProof/>
                                  <w:sz w:val="18"/>
                                  <w:szCs w:val="18"/>
                                </w:rPr>
                              </w:pPr>
                              <w:r>
                                <w:rPr>
                                  <w:b/>
                                  <w:noProof/>
                                  <w:sz w:val="18"/>
                                  <w:szCs w:val="18"/>
                                </w:rPr>
                                <w:t>Zatížení (TDD</w:t>
                              </w:r>
                              <w:r>
                                <w:rPr>
                                  <w:b/>
                                  <w:noProof/>
                                  <w:sz w:val="18"/>
                                  <w:szCs w:val="18"/>
                                  <w:vertAlign w:val="subscript"/>
                                </w:rPr>
                                <w:t>ODH</w:t>
                              </w:r>
                              <w:r>
                                <w:rPr>
                                  <w:b/>
                                  <w:noProof/>
                                  <w:sz w:val="18"/>
                                  <w:szCs w:val="18"/>
                                </w:rPr>
                                <w:t>)</w:t>
                              </w:r>
                            </w:p>
                          </w:txbxContent>
                        </wps:txbx>
                        <wps:bodyPr rot="0" vert="horz" wrap="square" lIns="91440" tIns="45720" rIns="91440" bIns="45720" anchor="t" anchorCtr="0" upright="1">
                          <a:noAutofit/>
                        </wps:bodyPr>
                      </wps:wsp>
                      <wps:wsp>
                        <wps:cNvPr id="7" name="Freeform 8"/>
                        <wps:cNvSpPr>
                          <a:spLocks/>
                        </wps:cNvSpPr>
                        <wps:spPr bwMode="auto">
                          <a:xfrm>
                            <a:off x="1328698" y="1201615"/>
                            <a:ext cx="3247927" cy="1280981"/>
                          </a:xfrm>
                          <a:custGeom>
                            <a:avLst/>
                            <a:gdLst>
                              <a:gd name="T0" fmla="*/ 0 w 5115"/>
                              <a:gd name="T1" fmla="*/ 0 h 2018"/>
                              <a:gd name="T2" fmla="*/ 990 w 5115"/>
                              <a:gd name="T3" fmla="*/ 120 h 2018"/>
                              <a:gd name="T4" fmla="*/ 1905 w 5115"/>
                              <a:gd name="T5" fmla="*/ 465 h 2018"/>
                              <a:gd name="T6" fmla="*/ 3060 w 5115"/>
                              <a:gd name="T7" fmla="*/ 1426 h 2018"/>
                              <a:gd name="T8" fmla="*/ 4080 w 5115"/>
                              <a:gd name="T9" fmla="*/ 1921 h 2018"/>
                              <a:gd name="T10" fmla="*/ 5115 w 5115"/>
                              <a:gd name="T11" fmla="*/ 2011 h 2018"/>
                            </a:gdLst>
                            <a:ahLst/>
                            <a:cxnLst>
                              <a:cxn ang="0">
                                <a:pos x="T0" y="T1"/>
                              </a:cxn>
                              <a:cxn ang="0">
                                <a:pos x="T2" y="T3"/>
                              </a:cxn>
                              <a:cxn ang="0">
                                <a:pos x="T4" y="T5"/>
                              </a:cxn>
                              <a:cxn ang="0">
                                <a:pos x="T6" y="T7"/>
                              </a:cxn>
                              <a:cxn ang="0">
                                <a:pos x="T8" y="T9"/>
                              </a:cxn>
                              <a:cxn ang="0">
                                <a:pos x="T10" y="T11"/>
                              </a:cxn>
                            </a:cxnLst>
                            <a:rect l="0" t="0" r="r" b="b"/>
                            <a:pathLst>
                              <a:path w="5115" h="2018">
                                <a:moveTo>
                                  <a:pt x="0" y="0"/>
                                </a:moveTo>
                                <a:cubicBezTo>
                                  <a:pt x="165" y="17"/>
                                  <a:pt x="673" y="43"/>
                                  <a:pt x="990" y="120"/>
                                </a:cubicBezTo>
                                <a:cubicBezTo>
                                  <a:pt x="1307" y="197"/>
                                  <a:pt x="1560" y="247"/>
                                  <a:pt x="1905" y="465"/>
                                </a:cubicBezTo>
                                <a:cubicBezTo>
                                  <a:pt x="2250" y="683"/>
                                  <a:pt x="2698" y="1183"/>
                                  <a:pt x="3060" y="1426"/>
                                </a:cubicBezTo>
                                <a:cubicBezTo>
                                  <a:pt x="3422" y="1669"/>
                                  <a:pt x="3738" y="1824"/>
                                  <a:pt x="4080" y="1921"/>
                                </a:cubicBezTo>
                                <a:cubicBezTo>
                                  <a:pt x="4422" y="2018"/>
                                  <a:pt x="4900" y="1992"/>
                                  <a:pt x="5115" y="2011"/>
                                </a:cubicBez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9"/>
                        <wps:cNvCnPr>
                          <a:cxnSpLocks noChangeShapeType="1"/>
                        </wps:cNvCnPr>
                        <wps:spPr bwMode="auto">
                          <a:xfrm>
                            <a:off x="1149315" y="1169868"/>
                            <a:ext cx="1379496" cy="794"/>
                          </a:xfrm>
                          <a:prstGeom prst="line">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2528812" y="2501644"/>
                            <a:ext cx="2068450" cy="794"/>
                          </a:xfrm>
                          <a:prstGeom prst="line">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2930437" y="1825438"/>
                            <a:ext cx="794" cy="128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2698669" y="1762738"/>
                            <a:ext cx="450043" cy="33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53E" w:rsidRDefault="00BD753E" w:rsidP="00482E83">
                              <w:pPr>
                                <w:rPr>
                                  <w:b/>
                                  <w:noProof/>
                                  <w:sz w:val="18"/>
                                  <w:szCs w:val="18"/>
                                  <w:vertAlign w:val="subscript"/>
                                </w:rPr>
                              </w:pPr>
                              <w:r>
                                <w:rPr>
                                  <w:b/>
                                  <w:noProof/>
                                  <w:sz w:val="18"/>
                                  <w:szCs w:val="18"/>
                                </w:rPr>
                                <w:t>k</w:t>
                              </w:r>
                              <w:r>
                                <w:rPr>
                                  <w:b/>
                                  <w:noProof/>
                                  <w:sz w:val="18"/>
                                  <w:szCs w:val="18"/>
                                  <w:vertAlign w:val="subscript"/>
                                </w:rPr>
                                <w:t>0</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2489125" y="1007166"/>
                            <a:ext cx="1046925" cy="33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53E" w:rsidRDefault="00BD753E" w:rsidP="00482E83">
                              <w:pPr>
                                <w:rPr>
                                  <w:b/>
                                  <w:noProof/>
                                  <w:sz w:val="18"/>
                                  <w:szCs w:val="18"/>
                                </w:rPr>
                              </w:pPr>
                              <w:r>
                                <w:rPr>
                                  <w:b/>
                                  <w:noProof/>
                                  <w:sz w:val="18"/>
                                  <w:szCs w:val="18"/>
                                </w:rPr>
                                <w:t>( 0.5 pro k</w:t>
                              </w:r>
                              <w:r>
                                <w:rPr>
                                  <w:b/>
                                  <w:noProof/>
                                  <w:sz w:val="18"/>
                                  <w:szCs w:val="18"/>
                                  <w:vertAlign w:val="subscript"/>
                                </w:rPr>
                                <w:t>n</w:t>
                              </w:r>
                              <w:r>
                                <w:rPr>
                                  <w:b/>
                                  <w:noProof/>
                                  <w:sz w:val="18"/>
                                  <w:szCs w:val="18"/>
                                </w:rPr>
                                <w:t>=1 )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2482775" y="2435770"/>
                            <a:ext cx="1034225" cy="33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53E" w:rsidRDefault="00BD753E" w:rsidP="00482E83">
                              <w:pPr>
                                <w:rPr>
                                  <w:b/>
                                  <w:noProof/>
                                  <w:sz w:val="18"/>
                                  <w:szCs w:val="18"/>
                                </w:rPr>
                              </w:pPr>
                              <w:r>
                                <w:rPr>
                                  <w:b/>
                                  <w:noProof/>
                                  <w:sz w:val="18"/>
                                  <w:szCs w:val="18"/>
                                </w:rPr>
                                <w:t>( -0.5 pro k</w:t>
                              </w:r>
                              <w:r>
                                <w:rPr>
                                  <w:b/>
                                  <w:noProof/>
                                  <w:sz w:val="18"/>
                                  <w:szCs w:val="18"/>
                                  <w:vertAlign w:val="subscript"/>
                                </w:rPr>
                                <w:t>n</w:t>
                              </w:r>
                              <w:r>
                                <w:rPr>
                                  <w:b/>
                                  <w:noProof/>
                                  <w:sz w:val="18"/>
                                  <w:szCs w:val="18"/>
                                </w:rPr>
                                <w:t>=1 )</w:t>
                              </w:r>
                            </w:p>
                          </w:txbxContent>
                        </wps:txbx>
                        <wps:bodyPr rot="0" vert="horz" wrap="square" lIns="91440" tIns="45720" rIns="91440" bIns="45720" anchor="t" anchorCtr="0" upright="1">
                          <a:noAutofit/>
                        </wps:bodyPr>
                      </wps:wsp>
                    </wpc:wpc>
                  </a:graphicData>
                </a:graphic>
              </wp:inline>
            </w:drawing>
          </mc:Choice>
          <mc:Fallback>
            <w:pict>
              <v:group id="Plátno 14" o:spid="_x0000_s1026" editas="canvas" style="width:416.3pt;height:244.35pt;mso-position-horizontal-relative:char;mso-position-vertical-relative:line" coordsize="52870,3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70;height:31032;visibility:visible;mso-wrap-style:square">
                  <v:fill o:detectmouseclick="t"/>
                  <v:path o:connecttype="none"/>
                </v:shape>
                <v:line id="Line 4" o:spid="_x0000_s1028" style="position:absolute;visibility:visible;mso-wrap-style:square" from="9191,18389" to="49417,18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5" o:spid="_x0000_s1029" style="position:absolute;flip:y;visibility:visible;mso-wrap-style:square" from="25288,4595" to="25288,29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6" o:spid="_x0000_s1030" type="#_x0000_t202" style="position:absolute;left:45972;top:18389;width:4501;height: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BD753E" w:rsidRDefault="00BD753E" w:rsidP="00482E83">
                        <w:pPr>
                          <w:rPr>
                            <w:b/>
                            <w:noProof/>
                            <w:sz w:val="18"/>
                            <w:szCs w:val="18"/>
                            <w:vertAlign w:val="subscript"/>
                          </w:rPr>
                        </w:pPr>
                        <w:r>
                          <w:rPr>
                            <w:b/>
                            <w:noProof/>
                            <w:sz w:val="18"/>
                            <w:szCs w:val="18"/>
                          </w:rPr>
                          <w:t>T</w:t>
                        </w:r>
                        <w:r>
                          <w:rPr>
                            <w:b/>
                            <w:noProof/>
                            <w:sz w:val="18"/>
                            <w:szCs w:val="18"/>
                            <w:vertAlign w:val="subscript"/>
                          </w:rPr>
                          <w:t>sk</w:t>
                        </w:r>
                      </w:p>
                    </w:txbxContent>
                  </v:textbox>
                </v:shape>
                <v:shape id="Text Box 7" o:spid="_x0000_s1031" type="#_x0000_t202" style="position:absolute;left:26431;top:3444;width:13795;height:3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BD753E" w:rsidRDefault="00BD753E" w:rsidP="00482E83">
                        <w:pPr>
                          <w:rPr>
                            <w:b/>
                            <w:noProof/>
                            <w:sz w:val="18"/>
                            <w:szCs w:val="18"/>
                          </w:rPr>
                        </w:pPr>
                        <w:r>
                          <w:rPr>
                            <w:b/>
                            <w:noProof/>
                            <w:sz w:val="18"/>
                            <w:szCs w:val="18"/>
                          </w:rPr>
                          <w:t>Zatížení (TDD</w:t>
                        </w:r>
                        <w:r>
                          <w:rPr>
                            <w:b/>
                            <w:noProof/>
                            <w:sz w:val="18"/>
                            <w:szCs w:val="18"/>
                            <w:vertAlign w:val="subscript"/>
                          </w:rPr>
                          <w:t>ODH</w:t>
                        </w:r>
                        <w:r>
                          <w:rPr>
                            <w:b/>
                            <w:noProof/>
                            <w:sz w:val="18"/>
                            <w:szCs w:val="18"/>
                          </w:rPr>
                          <w:t>)</w:t>
                        </w:r>
                      </w:p>
                    </w:txbxContent>
                  </v:textbox>
                </v:shape>
                <v:shape id="Freeform 8" o:spid="_x0000_s1032" style="position:absolute;left:13286;top:12016;width:32480;height:12809;visibility:visible;mso-wrap-style:square;v-text-anchor:top" coordsize="5115,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" path="m,c165,17,673,43,990,120v317,77,570,127,915,345c2250,683,2698,1183,3060,1426v362,243,678,398,1020,495c4422,2018,4900,1992,5115,2011e" filled="f" strokeweight="2.5pt">
                  <v:path arrowok="t" o:connecttype="custom" o:connectlocs="0,0;628631,76173;1209639,295172;1943041,905193;2590722,1219408;3247927,1276538" o:connectangles="0,0,0,0,0,0"/>
                </v:shape>
                <v:line id="Line 9" o:spid="_x0000_s1033" style="position:absolute;visibility:visible;mso-wrap-style:square" from="11493,11698" to="25288,1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" strokeweight=".25pt">
                  <v:stroke dashstyle="longDash"/>
                </v:line>
                <v:line id="Line 10" o:spid="_x0000_s1034" style="position:absolute;visibility:visible;mso-wrap-style:square" from="25288,25016" to="45972,2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" strokeweight=".25pt">
                  <v:stroke dashstyle="longDash"/>
                </v:line>
                <v:line id="Line 11" o:spid="_x0000_s1035" style="position:absolute;visibility:visible;mso-wrap-style:square" from="29304,18254" to="29312,1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12" o:spid="_x0000_s1036" type="#_x0000_t202" style="position:absolute;left:26986;top:17627;width:4501;height: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BD753E" w:rsidRDefault="00BD753E" w:rsidP="00482E83">
                        <w:pPr>
                          <w:rPr>
                            <w:b/>
                            <w:noProof/>
                            <w:sz w:val="18"/>
                            <w:szCs w:val="18"/>
                            <w:vertAlign w:val="subscript"/>
                          </w:rPr>
                        </w:pPr>
                        <w:r>
                          <w:rPr>
                            <w:b/>
                            <w:noProof/>
                            <w:sz w:val="18"/>
                            <w:szCs w:val="18"/>
                          </w:rPr>
                          <w:t>k</w:t>
                        </w:r>
                        <w:r>
                          <w:rPr>
                            <w:b/>
                            <w:noProof/>
                            <w:sz w:val="18"/>
                            <w:szCs w:val="18"/>
                            <w:vertAlign w:val="subscript"/>
                          </w:rPr>
                          <w:t>0</w:t>
                        </w:r>
                      </w:p>
                    </w:txbxContent>
                  </v:textbox>
                </v:shape>
                <v:shape id="Text Box 13" o:spid="_x0000_s1037" type="#_x0000_t202" style="position:absolute;left:24891;top:10071;width:10469;height:3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BD753E" w:rsidRDefault="00BD753E" w:rsidP="00482E83">
                        <w:pPr>
                          <w:rPr>
                            <w:b/>
                            <w:noProof/>
                            <w:sz w:val="18"/>
                            <w:szCs w:val="18"/>
                          </w:rPr>
                        </w:pPr>
                        <w:r>
                          <w:rPr>
                            <w:b/>
                            <w:noProof/>
                            <w:sz w:val="18"/>
                            <w:szCs w:val="18"/>
                          </w:rPr>
                          <w:t>( 0.5 pro k</w:t>
                        </w:r>
                        <w:r>
                          <w:rPr>
                            <w:b/>
                            <w:noProof/>
                            <w:sz w:val="18"/>
                            <w:szCs w:val="18"/>
                            <w:vertAlign w:val="subscript"/>
                          </w:rPr>
                          <w:t>n</w:t>
                        </w:r>
                        <w:r>
                          <w:rPr>
                            <w:b/>
                            <w:noProof/>
                            <w:sz w:val="18"/>
                            <w:szCs w:val="18"/>
                          </w:rPr>
                          <w:t>=1 )</w:t>
                        </w:r>
                      </w:p>
                    </w:txbxContent>
                  </v:textbox>
                </v:shape>
                <v:shape id="Text Box 14" o:spid="_x0000_s1038" type="#_x0000_t202" style="position:absolute;left:24827;top:24357;width:10343;height:3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BD753E" w:rsidRDefault="00BD753E" w:rsidP="00482E83">
                        <w:pPr>
                          <w:rPr>
                            <w:b/>
                            <w:noProof/>
                            <w:sz w:val="18"/>
                            <w:szCs w:val="18"/>
                          </w:rPr>
                        </w:pPr>
                        <w:r>
                          <w:rPr>
                            <w:b/>
                            <w:noProof/>
                            <w:sz w:val="18"/>
                            <w:szCs w:val="18"/>
                          </w:rPr>
                          <w:t>( -0.5 pro k</w:t>
                        </w:r>
                        <w:r>
                          <w:rPr>
                            <w:b/>
                            <w:noProof/>
                            <w:sz w:val="18"/>
                            <w:szCs w:val="18"/>
                            <w:vertAlign w:val="subscript"/>
                          </w:rPr>
                          <w:t>n</w:t>
                        </w:r>
                        <w:r>
                          <w:rPr>
                            <w:b/>
                            <w:noProof/>
                            <w:sz w:val="18"/>
                            <w:szCs w:val="18"/>
                          </w:rPr>
                          <w:t>=1 )</w:t>
                        </w:r>
                      </w:p>
                    </w:txbxContent>
                  </v:textbox>
                </v:shape>
                <w10:anchorlock/>
              </v:group>
            </w:pict>
          </mc:Fallback>
        </mc:AlternateContent>
      </w:r>
    </w:p>
    <w:p w:rsidR="00482E83" w:rsidRDefault="00482E83" w:rsidP="007B5361">
      <w:pPr>
        <w:pStyle w:val="Normln10"/>
        <w:spacing w:before="240"/>
      </w:pPr>
      <w:r>
        <w:t>Na základě regresní analýzy se pak stanoví konkrétní hodnoty regresních koeficientů u této rovnice a</w:t>
      </w:r>
      <w:r w:rsidR="00921CAD">
        <w:t> </w:t>
      </w:r>
      <w:r>
        <w:t xml:space="preserve">spočtou se TDD, které v sobě zahrnují předem jasně definované vazby na teplotu, „ideálně“ modelované funkční závislostí. Jestliže tyto matematicky namodelované odhady TDD dostatečně korelují se svými předlohami, pak lze teoreticky prohlásit stanovené vazby zatížení na teplotě za prokázané. </w:t>
      </w:r>
    </w:p>
    <w:p w:rsidR="00482E83" w:rsidRDefault="00482E83" w:rsidP="00482E83">
      <w:pPr>
        <w:pStyle w:val="Normln10"/>
      </w:pPr>
      <w:r>
        <w:t>V této souvislosti je však třeba dále uvést, že důležitým předpokladem pro správnost výstupů z regresních analýz je vzájemná nezávislost vstupních veličin, pro které současně hledáme funkční závislost se zatížením.</w:t>
      </w:r>
    </w:p>
    <w:p w:rsidR="00482E83" w:rsidRDefault="00482E83" w:rsidP="00482E83">
      <w:pPr>
        <w:pStyle w:val="Normln10"/>
      </w:pPr>
      <w:r>
        <w:t xml:space="preserve">Data o celostátních a regionálních denních průměrných teplotách, stejně jako celoroční průběh celostátních a regionálních denních normálových teplot mají zpracovatelé k dispozici od ČHMÚ. </w:t>
      </w:r>
    </w:p>
    <w:p w:rsidR="00482E83" w:rsidRPr="00430A13" w:rsidRDefault="00482E83" w:rsidP="00482E83">
      <w:pPr>
        <w:pStyle w:val="Normln10"/>
        <w:rPr>
          <w:rStyle w:val="Zdraznnintenzivn"/>
          <w:i w:val="0"/>
        </w:rPr>
      </w:pPr>
      <w:r w:rsidRPr="00430A13">
        <w:rPr>
          <w:rStyle w:val="Zdraznnintenzivn"/>
          <w:i w:val="0"/>
        </w:rPr>
        <w:t>Platí, že celostátní skutečné a normálové teploty jsou využity při přepočtech celostátních TDD a</w:t>
      </w:r>
      <w:r w:rsidR="00921CAD" w:rsidRPr="00430A13">
        <w:rPr>
          <w:rStyle w:val="Zdraznnintenzivn"/>
          <w:i w:val="0"/>
        </w:rPr>
        <w:t> </w:t>
      </w:r>
      <w:r w:rsidRPr="00430A13">
        <w:rPr>
          <w:rStyle w:val="Zdraznnintenzivn"/>
          <w:i w:val="0"/>
        </w:rPr>
        <w:t>regionální skutečné a normálové teploty jsou využity při přepočtech regionálních TDD ve třídě TDD5.</w:t>
      </w:r>
    </w:p>
    <w:p w:rsidR="00482E83" w:rsidRDefault="00482E83" w:rsidP="00482E83">
      <w:pPr>
        <w:pStyle w:val="Normln10"/>
      </w:pPr>
      <w:r>
        <w:t>Pro veškeré další postupy byly všechny průběhy normálových a skutečných teplot exponenciálně vyhlazeny, a to podle následujícího vztahu (2):</w:t>
      </w:r>
    </w:p>
    <w:p w:rsidR="00BD753E" w:rsidRPr="00BD753E" w:rsidRDefault="00E46DF3" w:rsidP="00CA49F8">
      <w:pPr>
        <w:pStyle w:val="Normln10"/>
        <w:tabs>
          <w:tab w:val="right" w:pos="9072"/>
        </w:tabs>
        <w:rPr>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vyh_i</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2</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4</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i-1</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8</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i-2</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16</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i-3</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32</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i-4</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64</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i-5</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128</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i-6</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256</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i-7</m:t>
            </m:r>
          </m:sub>
        </m:sSub>
        <m:r>
          <w:rPr>
            <w:rFonts w:ascii="Cambria Math" w:hAnsi="Cambria Math"/>
            <w:color w:val="auto"/>
            <w:sz w:val="22"/>
            <w:szCs w:val="22"/>
          </w:rPr>
          <m:t>+                +</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512</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i-8</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1024</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i-9</m:t>
            </m:r>
          </m:sub>
        </m:sSub>
      </m:oMath>
      <w:r w:rsidR="00BD753E">
        <w:tab/>
        <w:t>(2)</w:t>
      </w:r>
    </w:p>
    <w:p w:rsidR="00482E83" w:rsidRDefault="00CA49F8" w:rsidP="00276A7A">
      <w:pPr>
        <w:spacing w:before="120" w:after="120"/>
      </w:pPr>
      <w:r>
        <w:t>k</w:t>
      </w:r>
      <w:r w:rsidR="00482E83">
        <w:t>de</w:t>
      </w:r>
    </w:p>
    <w:p w:rsidR="00482E83" w:rsidRDefault="00E46DF3" w:rsidP="00430A13">
      <m:oMath>
        <m:sSub>
          <m:sSubPr>
            <m:ctrlPr>
              <w:rPr>
                <w:rFonts w:ascii="Cambria Math" w:hAnsi="Cambria Math"/>
                <w:i/>
                <w:sz w:val="22"/>
                <w:szCs w:val="22"/>
              </w:rPr>
            </m:ctrlPr>
          </m:sSubPr>
          <m:e>
            <m:r>
              <w:rPr>
                <w:rFonts w:ascii="Cambria Math"/>
                <w:sz w:val="22"/>
                <w:szCs w:val="22"/>
              </w:rPr>
              <m:t>T</m:t>
            </m:r>
          </m:e>
          <m:sub>
            <m:r>
              <w:rPr>
                <w:rFonts w:ascii="Cambria Math"/>
                <w:sz w:val="22"/>
                <w:szCs w:val="22"/>
              </w:rPr>
              <m:t>vy</m:t>
            </m:r>
            <m:r>
              <w:rPr>
                <w:rFonts w:ascii="Cambria Math" w:hAnsi="Cambria Math" w:cs="Cambria Math"/>
                <w:sz w:val="22"/>
                <w:szCs w:val="22"/>
              </w:rPr>
              <m:t>h</m:t>
            </m:r>
            <m:func>
              <m:funcPr>
                <m:ctrlPr>
                  <w:rPr>
                    <w:rFonts w:ascii="Cambria Math" w:hAnsi="Cambria Math"/>
                    <w:i/>
                    <w:sz w:val="22"/>
                    <w:szCs w:val="22"/>
                  </w:rPr>
                </m:ctrlPr>
              </m:funcPr>
              <m:fName>
                <m:r>
                  <w:rPr>
                    <w:rFonts w:ascii="Cambria Math"/>
                    <w:sz w:val="22"/>
                    <w:szCs w:val="22"/>
                  </w:rPr>
                  <m:t>_</m:t>
                </m:r>
              </m:fName>
              <m:e>
                <m:r>
                  <w:rPr>
                    <w:rFonts w:ascii="Cambria Math"/>
                    <w:sz w:val="22"/>
                    <w:szCs w:val="22"/>
                  </w:rPr>
                  <m:t>i</m:t>
                </m:r>
              </m:e>
            </m:func>
          </m:sub>
        </m:sSub>
      </m:oMath>
      <w:r w:rsidR="00482E83">
        <w:t xml:space="preserve"> </w:t>
      </w:r>
      <w:r w:rsidR="00482E83">
        <w:tab/>
      </w:r>
      <w:r w:rsidR="00482E83">
        <w:tab/>
      </w:r>
      <w:r w:rsidR="00482E83">
        <w:tab/>
        <w:t xml:space="preserve">je spočtená vyhlazená teplota ve dni </w:t>
      </w:r>
      <w:r w:rsidR="00482E83">
        <w:rPr>
          <w:i/>
        </w:rPr>
        <w:t>i</w:t>
      </w:r>
      <w:r w:rsidR="00482E83">
        <w:t>,</w:t>
      </w:r>
    </w:p>
    <w:p w:rsidR="00482E83" w:rsidRDefault="00E46DF3" w:rsidP="00430A13">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oMath>
      <w:r w:rsidR="00482E83" w:rsidRPr="00430A13">
        <w:rPr>
          <w:rFonts w:ascii="Cambria Math" w:hAnsi="Cambria Math"/>
          <w:sz w:val="22"/>
          <w:szCs w:val="22"/>
        </w:rPr>
        <w:t xml:space="preserve"> …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i-9</m:t>
            </m:r>
          </m:sub>
        </m:sSub>
      </m:oMath>
      <w:r w:rsidR="00482E83">
        <w:tab/>
      </w:r>
      <w:r w:rsidR="00482E83">
        <w:tab/>
        <w:t xml:space="preserve">jsou teploty ve dni </w:t>
      </w:r>
      <w:r w:rsidR="00482E83" w:rsidRPr="00CA49F8">
        <w:rPr>
          <w:i/>
        </w:rPr>
        <w:t>i</w:t>
      </w:r>
      <w:r w:rsidR="00482E83">
        <w:t xml:space="preserve"> až postupně ve dni </w:t>
      </w:r>
      <w:r w:rsidR="00482E83">
        <w:rPr>
          <w:i/>
        </w:rPr>
        <w:t>i-9</w:t>
      </w:r>
      <w:r w:rsidR="00482E83">
        <w:t>.</w:t>
      </w:r>
    </w:p>
    <w:p w:rsidR="00482E83" w:rsidRDefault="00482E83" w:rsidP="007B5361">
      <w:pPr>
        <w:pStyle w:val="Normln10"/>
        <w:tabs>
          <w:tab w:val="right" w:pos="9072"/>
        </w:tabs>
      </w:pPr>
      <w:r>
        <w:t xml:space="preserve">Pro praktické použití (pro dostatečnou přesnost) postačilo zahrnout do uvedeného vzorce prvních deset členů exponenciálního vyhlazení (poslední teploty je tedy využito ze dne </w:t>
      </w:r>
      <w:r>
        <w:rPr>
          <w:i/>
        </w:rPr>
        <w:t>i-9</w:t>
      </w:r>
      <w:r>
        <w:t>).</w:t>
      </w:r>
    </w:p>
    <w:p w:rsidR="00482E83" w:rsidRDefault="00482E83" w:rsidP="00482E83">
      <w:pPr>
        <w:pStyle w:val="Normln10"/>
      </w:pPr>
      <w:r>
        <w:lastRenderedPageBreak/>
        <w:t>Vyhlazením teplot se respektuje vliv určité časové setrvačnosti v obecné závislosti zatížení na venkovní teplotě. Dosahuje se tak zpravidla lepších korelačních vazeb mezi skutečným průběhem zatížení a</w:t>
      </w:r>
      <w:r w:rsidR="00921CAD">
        <w:t> </w:t>
      </w:r>
      <w:r>
        <w:t xml:space="preserve">průběhem zatížení odhadovaným na základě regresních modelů, což zpracovatelé prakticky ověřili. </w:t>
      </w:r>
    </w:p>
    <w:p w:rsidR="00482E83" w:rsidRDefault="00482E83" w:rsidP="00482E83">
      <w:pPr>
        <w:pStyle w:val="Normln10"/>
      </w:pPr>
      <w:r>
        <w:t>Protože ČHMÚ je schopen spolehlivě dodávat kvalitní data o teplotě pouze na úrovni denních průměrů, jsou i ze vstupních hodinových průběhů TDD pro další postup spočteny denní průměry TDD. Údaje o</w:t>
      </w:r>
      <w:r w:rsidR="00921CAD">
        <w:t> </w:t>
      </w:r>
      <w:r>
        <w:t xml:space="preserve">hodinových zatíženích jsou přitom vztaženy k letnímu a zimnímu času. </w:t>
      </w:r>
    </w:p>
    <w:p w:rsidR="00482E83" w:rsidRDefault="00482E83" w:rsidP="00482E83">
      <w:pPr>
        <w:pStyle w:val="Normln10"/>
      </w:pPr>
      <w:r>
        <w:t xml:space="preserve">Teoreticky je samozřejmě možné hledat i vazby hodinových hodnot TDD a denních průměrných teplot, tento postup je však z pohledu množství dat a složitosti výpočtu náročnější. Navíc uvedená vazba nemusí mít ve všech případech dostatečnou stabilitu. Zpracovatelé přesto v minulosti uvedený postup výpočetně ověřili a na základě výsledků je možné konstatovat, že výsledky přepočtu jsou téměř shodné se standardním postupem podle denních průměrů TDD.  </w:t>
      </w:r>
    </w:p>
    <w:p w:rsidR="00482E83" w:rsidRPr="00430A13" w:rsidRDefault="00482E83" w:rsidP="00482E83">
      <w:pPr>
        <w:pStyle w:val="Normln10"/>
        <w:rPr>
          <w:i/>
        </w:rPr>
      </w:pPr>
      <w:r>
        <w:t>Při analýzách a stanovování regresních koeficientů jednotlivých rovnic přispívá ke zvětšení korelace (a</w:t>
      </w:r>
      <w:r w:rsidR="00921CAD">
        <w:t> </w:t>
      </w:r>
      <w:r>
        <w:t xml:space="preserve">tím ke zpřesnění modelu) rozdělení roku na charakteristická časová období. Nejúčelněji se jeví rozdělení na pracovní dny, soboty a neděle. </w:t>
      </w:r>
      <w:r w:rsidRPr="00430A13">
        <w:rPr>
          <w:rStyle w:val="Zdraznnintenzivn"/>
          <w:i w:val="0"/>
        </w:rPr>
        <w:t>Pod pojmem „sobota“ je přitom obecně definován nepracovní den po pracovním dnu, „neděle“ zahrnuje každý nepracovní den následující po</w:t>
      </w:r>
      <w:r w:rsidR="00921CAD" w:rsidRPr="00430A13">
        <w:rPr>
          <w:rStyle w:val="Zdraznnintenzivn"/>
          <w:i w:val="0"/>
        </w:rPr>
        <w:t> </w:t>
      </w:r>
      <w:r w:rsidRPr="00430A13">
        <w:rPr>
          <w:rStyle w:val="Zdraznnintenzivn"/>
          <w:i w:val="0"/>
        </w:rPr>
        <w:t>nepracovním dnu. S využitím těchto definic se příslušně rozčlení i sváteční dny v průběhu roku.</w:t>
      </w:r>
    </w:p>
    <w:p w:rsidR="00482E83" w:rsidRDefault="00482E83" w:rsidP="00482E83">
      <w:pPr>
        <w:pStyle w:val="Normln10"/>
      </w:pPr>
      <w:r>
        <w:t>Při hledání regresních koeficientů se do výpočtů nezahrnují hodnoty z období „vánoc“ (tj. 23. 12. až 31.</w:t>
      </w:r>
      <w:r w:rsidR="00921CAD">
        <w:t> </w:t>
      </w:r>
      <w:r>
        <w:t>12.), kdy jsou průběhy TDD z pochopitelných důvodů odlišné od zbytku roku. Při samotných přepočtech se však TDD samozřejmě přepočítávají i v tomto období.</w:t>
      </w:r>
    </w:p>
    <w:p w:rsidR="00482E83" w:rsidRDefault="00482E83" w:rsidP="00482E83">
      <w:pPr>
        <w:pStyle w:val="Normln10"/>
      </w:pPr>
      <w:r>
        <w:t>Jak již bylo řečeno, vzhledem k výsledkům předchozích analýz se zpracovatelé rozhodli jednoznačně preferovat exponenciální rovnici ve tvaru (1). Stejně jako v minulosti se pracuje s rozdělením časového období zvlášť na pracovní dny, soboty a neděle.</w:t>
      </w:r>
    </w:p>
    <w:p w:rsidR="00482E83" w:rsidRDefault="00482E83" w:rsidP="00A7306D">
      <w:pPr>
        <w:pStyle w:val="Normln10"/>
      </w:pPr>
      <w:r>
        <w:t>Výstupy z provedené regresní analýzy jsou využity v dalším postupu při přepočtu skutečných TDD na</w:t>
      </w:r>
      <w:r w:rsidR="00921CAD">
        <w:t> </w:t>
      </w:r>
      <w:r>
        <w:t>normálové TDD. Vyjdeme přitom ze základního vztahu (3), kdy pro každý den platí:</w:t>
      </w:r>
    </w:p>
    <w:p w:rsidR="00482E83" w:rsidRDefault="00430A13" w:rsidP="00430A13">
      <w:pPr>
        <w:pStyle w:val="Normln10"/>
        <w:tabs>
          <w:tab w:val="right" w:pos="9072"/>
        </w:tabs>
      </w:pPr>
      <m:oMath>
        <m:r>
          <w:rPr>
            <w:rFonts w:ascii="Cambria Math" w:hAnsi="Cambria Math"/>
          </w:rPr>
          <m:t>TD</m:t>
        </m:r>
        <m:sSubSup>
          <m:sSubSupPr>
            <m:ctrlPr>
              <w:rPr>
                <w:rFonts w:ascii="Cambria Math" w:hAnsi="Cambria Math"/>
                <w:i/>
              </w:rPr>
            </m:ctrlPr>
          </m:sSubSupPr>
          <m:e>
            <m:r>
              <w:rPr>
                <w:rFonts w:ascii="Cambria Math" w:hAnsi="Cambria Math"/>
              </w:rPr>
              <m:t>D</m:t>
            </m:r>
          </m:e>
          <m:sub>
            <m:r>
              <w:rPr>
                <w:rFonts w:ascii="Cambria Math" w:hAnsi="Cambria Math"/>
              </w:rPr>
              <m:t>T-NORM</m:t>
            </m:r>
          </m:sub>
          <m:sup>
            <m:r>
              <w:rPr>
                <w:rFonts w:ascii="Cambria Math" w:hAnsi="Cambria Math"/>
              </w:rPr>
              <m:t>d</m:t>
            </m:r>
          </m:sup>
        </m:sSubSup>
        <m:r>
          <w:rPr>
            <w:rFonts w:ascii="Cambria Math" w:hAnsi="Cambria Math"/>
          </w:rPr>
          <m:t>=TD</m:t>
        </m:r>
        <m:sSubSup>
          <m:sSubSupPr>
            <m:ctrlPr>
              <w:rPr>
                <w:rFonts w:ascii="Cambria Math" w:hAnsi="Cambria Math"/>
                <w:i/>
              </w:rPr>
            </m:ctrlPr>
          </m:sSubSupPr>
          <m:e>
            <m:r>
              <w:rPr>
                <w:rFonts w:ascii="Cambria Math" w:hAnsi="Cambria Math"/>
              </w:rPr>
              <m:t>D</m:t>
            </m:r>
          </m:e>
          <m:sub>
            <m:r>
              <w:rPr>
                <w:rFonts w:ascii="Cambria Math" w:hAnsi="Cambria Math"/>
              </w:rPr>
              <m:t>T-SK-VYCHOZI</m:t>
            </m:r>
          </m:sub>
          <m:sup>
            <m:r>
              <w:rPr>
                <w:rFonts w:ascii="Cambria Math" w:hAnsi="Cambria Math"/>
              </w:rPr>
              <m:t>d</m:t>
            </m:r>
          </m:sup>
        </m:sSub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d</m:t>
            </m:r>
          </m:sup>
        </m:sSup>
        <m:r>
          <w:rPr>
            <w:rFonts w:ascii="Cambria Math" w:hAnsi="Cambria Math"/>
          </w:rPr>
          <m:t>=TD</m:t>
        </m:r>
        <m:sSubSup>
          <m:sSubSupPr>
            <m:ctrlPr>
              <w:rPr>
                <w:rFonts w:ascii="Cambria Math" w:hAnsi="Cambria Math"/>
                <w:i/>
              </w:rPr>
            </m:ctrlPr>
          </m:sSubSupPr>
          <m:e>
            <m:r>
              <w:rPr>
                <w:rFonts w:ascii="Cambria Math" w:hAnsi="Cambria Math"/>
              </w:rPr>
              <m:t>D</m:t>
            </m:r>
          </m:e>
          <m:sub>
            <m:r>
              <w:rPr>
                <w:rFonts w:ascii="Cambria Math" w:hAnsi="Cambria Math"/>
              </w:rPr>
              <m:t>T-SK-VYCHOZI</m:t>
            </m:r>
          </m:sub>
          <m:sup>
            <m:r>
              <w:rPr>
                <w:rFonts w:ascii="Cambria Math" w:hAnsi="Cambria Math"/>
              </w:rPr>
              <m:t>d</m:t>
            </m:r>
          </m:sup>
        </m:sSubSup>
        <m:r>
          <w:rPr>
            <w:rFonts w:ascii="Cambria Math" w:hAnsi="Cambria Math"/>
          </w:rPr>
          <m:t>+TD</m:t>
        </m:r>
        <m:sSubSup>
          <m:sSubSupPr>
            <m:ctrlPr>
              <w:rPr>
                <w:rFonts w:ascii="Cambria Math" w:hAnsi="Cambria Math"/>
                <w:i/>
              </w:rPr>
            </m:ctrlPr>
          </m:sSubSupPr>
          <m:e>
            <m:r>
              <w:rPr>
                <w:rFonts w:ascii="Cambria Math" w:hAnsi="Cambria Math"/>
              </w:rPr>
              <m:t>D</m:t>
            </m:r>
          </m:e>
          <m:sub>
            <m:r>
              <w:rPr>
                <w:rFonts w:ascii="Cambria Math" w:hAnsi="Cambria Math"/>
              </w:rPr>
              <m:t>T-NORM</m:t>
            </m:r>
          </m:sub>
          <m:sup>
            <m:r>
              <w:rPr>
                <w:rFonts w:ascii="Cambria Math" w:hAnsi="Cambria Math"/>
              </w:rPr>
              <m:t>d</m:t>
            </m:r>
          </m:sup>
        </m:sSubSup>
        <m:r>
          <w:rPr>
            <w:rFonts w:ascii="Cambria Math" w:hAnsi="Cambria Math"/>
          </w:rPr>
          <m:t>-TD</m:t>
        </m:r>
        <m:sSubSup>
          <m:sSubSupPr>
            <m:ctrlPr>
              <w:rPr>
                <w:rFonts w:ascii="Cambria Math" w:hAnsi="Cambria Math"/>
                <w:i/>
              </w:rPr>
            </m:ctrlPr>
          </m:sSubSupPr>
          <m:e>
            <m:r>
              <w:rPr>
                <w:rFonts w:ascii="Cambria Math" w:hAnsi="Cambria Math"/>
              </w:rPr>
              <m:t>D</m:t>
            </m:r>
          </m:e>
          <m:sub>
            <m:r>
              <w:rPr>
                <w:rFonts w:ascii="Cambria Math" w:hAnsi="Cambria Math"/>
              </w:rPr>
              <m:t>T-SK-VYCHOZI</m:t>
            </m:r>
          </m:sub>
          <m:sup>
            <m:r>
              <w:rPr>
                <w:rFonts w:ascii="Cambria Math" w:hAnsi="Cambria Math"/>
              </w:rPr>
              <m:t>d</m:t>
            </m:r>
          </m:sup>
        </m:sSubSup>
      </m:oMath>
      <w:r w:rsidR="007B5361">
        <w:tab/>
      </w:r>
      <w:r w:rsidR="00482E83">
        <w:t>(3)</w:t>
      </w:r>
    </w:p>
    <w:p w:rsidR="00482E83" w:rsidRDefault="00482E83" w:rsidP="000829F9">
      <w:pPr>
        <w:spacing w:before="120" w:after="120"/>
      </w:pPr>
      <w:r>
        <w:t xml:space="preserve">kde </w:t>
      </w:r>
    </w:p>
    <w:p w:rsidR="00482E83" w:rsidRDefault="00430A13" w:rsidP="00430A13">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T</m:t>
            </m:r>
            <m:r>
              <w:rPr>
                <w:rFonts w:ascii="Cambria Math"/>
                <w:sz w:val="22"/>
                <w:szCs w:val="22"/>
              </w:rPr>
              <m:t>-</m:t>
            </m:r>
            <m:r>
              <w:rPr>
                <w:rFonts w:ascii="Cambria Math"/>
                <w:sz w:val="22"/>
                <w:szCs w:val="22"/>
              </w:rPr>
              <m:t>NORM</m:t>
            </m:r>
          </m:sub>
          <m:sup>
            <m:r>
              <w:rPr>
                <w:rFonts w:ascii="Cambria Math"/>
                <w:sz w:val="22"/>
                <w:szCs w:val="22"/>
              </w:rPr>
              <m:t>d</m:t>
            </m:r>
          </m:sup>
        </m:sSubSup>
      </m:oMath>
      <w:r w:rsidR="00482E83">
        <w:tab/>
      </w:r>
      <w:r w:rsidR="00482E83">
        <w:tab/>
        <w:t>je denní průměr TDD přepočteného na normálové teploty,</w:t>
      </w:r>
    </w:p>
    <w:p w:rsidR="00482E83" w:rsidRDefault="00430A13" w:rsidP="00430A13">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T</m:t>
            </m:r>
            <m:r>
              <w:rPr>
                <w:rFonts w:ascii="Cambria Math"/>
                <w:sz w:val="22"/>
                <w:szCs w:val="22"/>
              </w:rPr>
              <m:t>-</m:t>
            </m:r>
            <m:r>
              <w:rPr>
                <w:rFonts w:ascii="Cambria Math"/>
                <w:sz w:val="22"/>
                <w:szCs w:val="22"/>
              </w:rPr>
              <m:t>SK</m:t>
            </m:r>
            <m:r>
              <w:rPr>
                <w:rFonts w:ascii="Cambria Math"/>
                <w:sz w:val="22"/>
                <w:szCs w:val="22"/>
              </w:rPr>
              <m:t>-</m:t>
            </m:r>
            <m:r>
              <w:rPr>
                <w:rFonts w:ascii="Cambria Math"/>
                <w:sz w:val="22"/>
                <w:szCs w:val="22"/>
              </w:rPr>
              <m:t>VYCHOZI</m:t>
            </m:r>
          </m:sub>
          <m:sup>
            <m:r>
              <w:rPr>
                <w:rFonts w:ascii="Cambria Math"/>
                <w:sz w:val="22"/>
                <w:szCs w:val="22"/>
              </w:rPr>
              <m:t>d</m:t>
            </m:r>
          </m:sup>
        </m:sSubSup>
      </m:oMath>
      <w:r w:rsidR="00482E83">
        <w:tab/>
        <w:t>je denní průměr skutečného TDD z výchozího období měření,</w:t>
      </w:r>
    </w:p>
    <w:p w:rsidR="00482E83" w:rsidRDefault="00E46DF3" w:rsidP="00430A13">
      <m:oMath>
        <m:sSup>
          <m:sSupPr>
            <m:ctrlPr>
              <w:rPr>
                <w:rFonts w:ascii="Cambria Math" w:hAnsi="Cambria Math"/>
                <w:i/>
                <w:sz w:val="22"/>
                <w:szCs w:val="22"/>
              </w:rPr>
            </m:ctrlPr>
          </m:sSupPr>
          <m:e>
            <m:r>
              <w:rPr>
                <w:rFonts w:ascii="Cambria Math"/>
                <w:sz w:val="22"/>
                <w:szCs w:val="22"/>
              </w:rPr>
              <m:t>X</m:t>
            </m:r>
          </m:e>
          <m:sup>
            <m:r>
              <w:rPr>
                <w:rFonts w:ascii="Cambria Math"/>
                <w:sz w:val="22"/>
                <w:szCs w:val="22"/>
              </w:rPr>
              <m:t>d</m:t>
            </m:r>
          </m:sup>
        </m:sSup>
      </m:oMath>
      <w:r w:rsidR="00482E83">
        <w:tab/>
      </w:r>
      <w:r w:rsidR="00482E83">
        <w:tab/>
      </w:r>
      <w:r w:rsidR="00482E83">
        <w:tab/>
        <w:t>hledaná odchylka denních průměrů obou diagramů.</w:t>
      </w:r>
    </w:p>
    <w:p w:rsidR="00482E83" w:rsidRDefault="00482E83" w:rsidP="00C761DB">
      <w:pPr>
        <w:pStyle w:val="Normln10"/>
        <w:spacing w:before="240"/>
      </w:pPr>
      <w:r>
        <w:t>Jestliže dále vyjdeme ze vztahu (1) pro vybranou regresní rovnici, lze za předchozích předpokladů přibližně napsat:</w:t>
      </w:r>
    </w:p>
    <w:p w:rsidR="00482E83" w:rsidRDefault="00430A13" w:rsidP="00CA49F8">
      <w:pPr>
        <w:pStyle w:val="Normln10"/>
        <w:tabs>
          <w:tab w:val="right" w:pos="9072"/>
        </w:tabs>
      </w:pP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T-NORM</m:t>
            </m:r>
          </m:sub>
          <m:sup>
            <m:r>
              <w:rPr>
                <w:rFonts w:ascii="Cambria Math" w:hAnsi="Cambria Math"/>
                <w:sz w:val="22"/>
                <w:szCs w:val="22"/>
              </w:rPr>
              <m:t>d</m:t>
            </m:r>
          </m:sup>
        </m:sSubSup>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d</m:t>
            </m:r>
          </m:sub>
        </m:sSub>
        <m:r>
          <w:rPr>
            <w:rFonts w:ascii="Cambria Math" w:hAnsi="Cambria Math" w:cs="Cambria Math"/>
            <w:sz w:val="22"/>
            <w:szCs w:val="22"/>
          </w:rPr>
          <m:t>⋅</m:t>
        </m:r>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r>
          <w:rPr>
            <w:rFonts w:ascii="Cambria Math" w:hAnsi="Cambria Math" w:cs="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sub>
        </m:sSub>
        <m:r>
          <w:rPr>
            <w:rFonts w:ascii="Cambria Math" w:hAnsi="Cambria Math" w:cs="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e>
                        </m:d>
                      </m:e>
                    </m:d>
                  </m:e>
                </m:func>
              </m:den>
            </m:f>
            <m:r>
              <w:rPr>
                <w:rFonts w:ascii="Cambria Math" w:hAnsi="Cambria Math"/>
                <w:sz w:val="22"/>
                <w:szCs w:val="22"/>
              </w:rPr>
              <m:t>-0.5</m:t>
            </m:r>
          </m:e>
        </m:d>
      </m:oMath>
      <w:r w:rsidR="00A7306D">
        <w:tab/>
      </w:r>
      <w:r w:rsidR="00482E83">
        <w:t>(4)</w:t>
      </w:r>
    </w:p>
    <w:p w:rsidR="00482E83" w:rsidRDefault="00430A13" w:rsidP="00430A13">
      <w:pPr>
        <w:pStyle w:val="Normln10"/>
        <w:tabs>
          <w:tab w:val="right" w:pos="9072"/>
        </w:tabs>
      </w:pP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T-SK-VYCHOZI</m:t>
            </m:r>
          </m:sub>
          <m:sup>
            <m:r>
              <w:rPr>
                <w:rFonts w:ascii="Cambria Math" w:hAnsi="Cambria Math"/>
                <w:sz w:val="22"/>
                <w:szCs w:val="22"/>
              </w:rPr>
              <m:t>d</m:t>
            </m:r>
          </m:sup>
        </m:sSubSup>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d</m:t>
            </m:r>
          </m:sub>
        </m:sSub>
        <m:r>
          <w:rPr>
            <w:rFonts w:ascii="Cambria Math" w:hAnsi="Cambria Math" w:cs="Cambria Math"/>
            <w:sz w:val="22"/>
            <w:szCs w:val="22"/>
          </w:rPr>
          <m:t>⋅</m:t>
        </m:r>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r>
          <w:rPr>
            <w:rFonts w:ascii="Cambria Math" w:hAnsi="Cambria Math" w:cs="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sub>
        </m:sSub>
        <m:r>
          <w:rPr>
            <w:rFonts w:ascii="Cambria Math" w:hAnsi="Cambria Math" w:cs="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vsk-vyc</m:t>
                                </m:r>
                                <m:r>
                                  <w:rPr>
                                    <w:rFonts w:ascii="Cambria Math" w:hAnsi="Cambria Math" w:cs="Cambria Math"/>
                                    <w:sz w:val="22"/>
                                    <w:szCs w:val="22"/>
                                  </w:rPr>
                                  <m:t>h</m:t>
                                </m:r>
                                <m:r>
                                  <w:rPr>
                                    <w:rFonts w:ascii="Cambria Math" w:hAnsi="Cambria Math"/>
                                    <w:sz w:val="22"/>
                                    <w:szCs w:val="22"/>
                                  </w:rPr>
                                  <m:t>ozi</m:t>
                                </m:r>
                              </m:sub>
                            </m:sSub>
                          </m:e>
                        </m:d>
                      </m:e>
                    </m:d>
                  </m:e>
                </m:func>
              </m:den>
            </m:f>
            <m:r>
              <w:rPr>
                <w:rFonts w:ascii="Cambria Math" w:hAnsi="Cambria Math"/>
                <w:sz w:val="22"/>
                <w:szCs w:val="22"/>
              </w:rPr>
              <m:t>-0.5</m:t>
            </m:r>
          </m:e>
        </m:d>
      </m:oMath>
      <w:r w:rsidR="00A7306D">
        <w:tab/>
      </w:r>
      <w:r w:rsidR="00482E83">
        <w:t>(5)</w:t>
      </w:r>
    </w:p>
    <w:p w:rsidR="00482E83" w:rsidRDefault="00482E83" w:rsidP="00482E83">
      <w:pPr>
        <w:pStyle w:val="Seznam11"/>
        <w:numPr>
          <w:ilvl w:val="0"/>
          <w:numId w:val="0"/>
        </w:numPr>
        <w:ind w:left="397" w:hanging="340"/>
      </w:pPr>
      <w:r>
        <w:t>kde</w:t>
      </w:r>
    </w:p>
    <w:p w:rsidR="00482E83" w:rsidRDefault="00E46DF3" w:rsidP="00430A13">
      <w:pPr>
        <w:pStyle w:val="Seznam11"/>
        <w:numPr>
          <w:ilvl w:val="0"/>
          <w:numId w:val="0"/>
        </w:numPr>
        <w:ind w:left="397" w:hanging="340"/>
      </w:pPr>
      <m:oMath>
        <m:sSub>
          <m:sSubPr>
            <m:ctrlPr>
              <w:rPr>
                <w:rFonts w:ascii="Cambria Math" w:hAnsi="Cambria Math"/>
                <w:i/>
                <w:sz w:val="22"/>
                <w:szCs w:val="22"/>
              </w:rPr>
            </m:ctrlPr>
          </m:sSubPr>
          <m:e>
            <m:r>
              <w:rPr>
                <w:rFonts w:ascii="Cambria Math"/>
                <w:sz w:val="22"/>
                <w:szCs w:val="22"/>
              </w:rPr>
              <m:t>T</m:t>
            </m:r>
          </m:e>
          <m:sub>
            <m:r>
              <w:rPr>
                <w:rFonts w:ascii="Cambria Math"/>
                <w:sz w:val="22"/>
                <w:szCs w:val="22"/>
              </w:rPr>
              <m:t>vp</m:t>
            </m:r>
          </m:sub>
        </m:sSub>
      </m:oMath>
      <w:r w:rsidR="00482E83">
        <w:tab/>
      </w:r>
      <w:r w:rsidR="00482E83">
        <w:tab/>
      </w:r>
      <w:r w:rsidR="00482E83">
        <w:tab/>
      </w:r>
      <w:r w:rsidR="00482E83">
        <w:tab/>
        <w:t>je denní průměrná hodnota normálové teploty, vyhlazená podle vztahu (2),</w:t>
      </w:r>
    </w:p>
    <w:p w:rsidR="00482E83" w:rsidRDefault="00E46DF3" w:rsidP="00430A13">
      <w:pPr>
        <w:pStyle w:val="Seznam11"/>
        <w:numPr>
          <w:ilvl w:val="0"/>
          <w:numId w:val="0"/>
        </w:numPr>
        <w:ind w:left="2121" w:hanging="2064"/>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vsk-vyc</m:t>
            </m:r>
            <m:r>
              <w:rPr>
                <w:rFonts w:ascii="Cambria Math" w:hAnsi="Cambria Math" w:cs="Cambria Math"/>
                <w:sz w:val="22"/>
                <w:szCs w:val="22"/>
              </w:rPr>
              <m:t>h</m:t>
            </m:r>
            <m:r>
              <w:rPr>
                <w:rFonts w:ascii="Cambria Math" w:hAnsi="Cambria Math"/>
                <w:sz w:val="22"/>
                <w:szCs w:val="22"/>
              </w:rPr>
              <m:t>ozi</m:t>
            </m:r>
          </m:sub>
        </m:sSub>
      </m:oMath>
      <w:r w:rsidR="00482E83">
        <w:tab/>
      </w:r>
      <w:r w:rsidR="00482E83">
        <w:tab/>
        <w:t>je denní průměrná hodnota skutečné teploty ve výchozím období měření, vyhlazená podle vztahu (2).</w:t>
      </w:r>
    </w:p>
    <w:p w:rsidR="00482E83" w:rsidRDefault="00482E83" w:rsidP="00A7306D">
      <w:pPr>
        <w:pStyle w:val="Normln10"/>
      </w:pPr>
      <w:r>
        <w:t>Jestliže dosadíme rovnice (4) a (5) do vztahu (3) dostáváme:</w:t>
      </w:r>
    </w:p>
    <w:p w:rsidR="003D692D" w:rsidRPr="003D692D" w:rsidRDefault="00E46DF3" w:rsidP="00DD19D4">
      <w:pPr>
        <w:pStyle w:val="Normln10"/>
        <w:tabs>
          <w:tab w:val="right" w:pos="9072"/>
        </w:tabs>
      </w:pPr>
      <m:oMath>
        <m:sSubSup>
          <m:sSubSupPr>
            <m:ctrlPr>
              <w:rPr>
                <w:rFonts w:ascii="Cambria Math" w:hAnsi="Cambria Math"/>
                <w:i/>
                <w:sz w:val="22"/>
                <w:szCs w:val="22"/>
              </w:rPr>
            </m:ctrlPr>
          </m:sSubSupPr>
          <m:e>
            <m:r>
              <w:rPr>
                <w:rFonts w:ascii="Cambria Math" w:hAnsi="Cambria Math"/>
                <w:sz w:val="22"/>
                <w:szCs w:val="22"/>
              </w:rPr>
              <m:t>TDD</m:t>
            </m:r>
          </m:e>
          <m:sub>
            <m:r>
              <w:rPr>
                <w:rFonts w:ascii="Cambria Math" w:hAnsi="Cambria Math"/>
                <w:sz w:val="22"/>
                <w:szCs w:val="22"/>
              </w:rPr>
              <m:t>T-NORM</m:t>
            </m:r>
          </m:sub>
          <m:sup>
            <m:r>
              <w:rPr>
                <w:rFonts w:ascii="Cambria Math" w:hAnsi="Cambria Math"/>
                <w:sz w:val="22"/>
                <w:szCs w:val="22"/>
              </w:rPr>
              <m:t>d</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TDD</m:t>
            </m:r>
          </m:e>
          <m:sub>
            <m:r>
              <w:rPr>
                <w:rFonts w:ascii="Cambria Math" w:hAnsi="Cambria Math"/>
                <w:sz w:val="22"/>
                <w:szCs w:val="22"/>
              </w:rPr>
              <m:t>T-SK-VYCHOZI</m:t>
            </m:r>
          </m:sub>
          <m:sup>
            <m:r>
              <w:rPr>
                <w:rFonts w:ascii="Cambria Math" w:hAnsi="Cambria Math"/>
                <w:sz w:val="22"/>
                <w:szCs w:val="22"/>
              </w:rPr>
              <m:t>d</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sub>
        </m:sSub>
        <m:r>
          <w:rPr>
            <w:rFonts w:ascii="Cambria Math" w:hAnsi="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r>
                  <m:rPr>
                    <m:sty m:val="p"/>
                  </m:rPr>
                  <w:rPr>
                    <w:rFonts w:ascii="Cambria Math" w:hAnsi="Cambria Math"/>
                    <w:sz w:val="22"/>
                    <w:szCs w:val="22"/>
                  </w:rPr>
                  <m:t>exp⁡</m:t>
                </m:r>
                <m:d>
                  <m:dPr>
                    <m:endChr m:val=""/>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r>
                      <w:rPr>
                        <w:rFonts w:ascii="Cambria Math" w:hAnsi="Cambria Math"/>
                        <w:sz w:val="22"/>
                        <w:szCs w:val="22"/>
                      </w:rPr>
                      <m:t>))</m:t>
                    </m:r>
                  </m:e>
                </m:d>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r>
                  <m:rPr>
                    <m:sty m:val="p"/>
                  </m:rPr>
                  <w:rPr>
                    <w:rFonts w:ascii="Cambria Math" w:hAnsi="Cambria Math"/>
                    <w:sz w:val="22"/>
                    <w:szCs w:val="22"/>
                  </w:rPr>
                  <m:t>exp⁡</m:t>
                </m:r>
                <m:d>
                  <m:dPr>
                    <m:endChr m:val=""/>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vsk-vychozi</m:t>
                        </m:r>
                      </m:sub>
                    </m:sSub>
                    <m:r>
                      <w:rPr>
                        <w:rFonts w:ascii="Cambria Math" w:hAnsi="Cambria Math"/>
                        <w:sz w:val="22"/>
                        <w:szCs w:val="22"/>
                      </w:rPr>
                      <m:t>))</m:t>
                    </m:r>
                  </m:e>
                </m:d>
              </m:den>
            </m:f>
          </m:e>
        </m:d>
      </m:oMath>
      <w:r w:rsidR="00DD19D4">
        <w:tab/>
        <w:t>(6)</w:t>
      </w:r>
    </w:p>
    <w:p w:rsidR="00482E83" w:rsidRDefault="00482E83" w:rsidP="00073918">
      <w:pPr>
        <w:pStyle w:val="Normln10"/>
        <w:spacing w:before="240"/>
      </w:pPr>
      <w:r>
        <w:t>Chyba způsobená matematickým modelováním vlivu teploty tak do výsledného vzorce vstupuje jen v</w:t>
      </w:r>
      <w:r w:rsidR="00921CAD">
        <w:t> </w:t>
      </w:r>
      <w:r>
        <w:t>podobě rozdílu nelineárních členů regresní rovnice.</w:t>
      </w:r>
    </w:p>
    <w:p w:rsidR="00482E83" w:rsidRDefault="00482E83" w:rsidP="00482E83">
      <w:pPr>
        <w:pStyle w:val="Normln10"/>
      </w:pPr>
      <w:r>
        <w:t>Podle uvedeného vztahu (6) lze již snadno spočítat hodnoty denních průměrů TDD přepočtené na normálovou teplotu. Při výpočtu je však třeba odlišovat typ dne (pracovní, sobota, neděle), protože se pro ně dosazují odlišné regresní koeficienty.</w:t>
      </w:r>
    </w:p>
    <w:p w:rsidR="00482E83" w:rsidRDefault="00482E83" w:rsidP="00430A13">
      <w:pPr>
        <w:pStyle w:val="Normln10"/>
      </w:pPr>
      <w:r>
        <w:t xml:space="preserve">Dále lze pro každý den spočítat hodnotu koeficientu </w:t>
      </w: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T-NORM</m:t>
            </m:r>
          </m:sub>
          <m:sup>
            <m:r>
              <w:rPr>
                <w:rFonts w:ascii="Cambria Math" w:hAnsi="Cambria Math"/>
                <w:sz w:val="22"/>
                <w:szCs w:val="22"/>
              </w:rPr>
              <m:t>d</m:t>
            </m:r>
          </m:sup>
        </m:sSubSup>
      </m:oMath>
      <w:r>
        <w:t xml:space="preserve"> podle vztahu:</w:t>
      </w:r>
    </w:p>
    <w:p w:rsidR="00482E83" w:rsidRDefault="00E46DF3" w:rsidP="00430A13">
      <w:pPr>
        <w:pStyle w:val="Normln10"/>
        <w:tabs>
          <w:tab w:val="right" w:pos="9072"/>
        </w:tabs>
      </w:pP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T-NORM</m:t>
            </m:r>
          </m:sub>
          <m:sup>
            <m:r>
              <w:rPr>
                <w:rFonts w:ascii="Cambria Math" w:hAnsi="Cambria Math"/>
                <w:sz w:val="22"/>
                <w:szCs w:val="22"/>
              </w:rPr>
              <m:t>d</m:t>
            </m:r>
          </m:sup>
        </m:sSub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T-NORM</m:t>
                </m:r>
              </m:sub>
              <m:sup>
                <m:r>
                  <w:rPr>
                    <w:rFonts w:ascii="Cambria Math" w:hAnsi="Cambria Math"/>
                    <w:sz w:val="22"/>
                    <w:szCs w:val="22"/>
                  </w:rPr>
                  <m:t>d</m:t>
                </m:r>
              </m:sup>
            </m:sSubSup>
          </m:num>
          <m:den>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T-SK-VYCHOZI</m:t>
                </m:r>
              </m:sub>
              <m:sup>
                <m:r>
                  <w:rPr>
                    <w:rFonts w:ascii="Cambria Math" w:hAnsi="Cambria Math"/>
                    <w:sz w:val="22"/>
                    <w:szCs w:val="22"/>
                  </w:rPr>
                  <m:t>d</m:t>
                </m:r>
              </m:sup>
            </m:sSubSup>
          </m:den>
        </m:f>
      </m:oMath>
      <w:r w:rsidR="00A7306D">
        <w:tab/>
      </w:r>
      <w:r w:rsidR="00482E83">
        <w:t>(7)</w:t>
      </w:r>
    </w:p>
    <w:p w:rsidR="00482E83" w:rsidRDefault="00482E83" w:rsidP="00482E83">
      <w:pPr>
        <w:pStyle w:val="Normln10"/>
      </w:pPr>
      <w:r>
        <w:t>Jestliže tímto koeficientem vynásobíme každý den všechny hodinové hodnoty TDD sestaveného z měření ve výchozím období, dostaneme pak hodinový průběh TDD přepočteného na normálové teploty:</w:t>
      </w:r>
    </w:p>
    <w:p w:rsidR="00482E83" w:rsidRDefault="00430A13" w:rsidP="00430A13">
      <w:pPr>
        <w:pStyle w:val="Normln10"/>
        <w:tabs>
          <w:tab w:val="right" w:pos="9072"/>
        </w:tabs>
      </w:pP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T-NORM</m:t>
            </m:r>
          </m:sub>
          <m:sup>
            <m:r>
              <w:rPr>
                <w:rFonts w:ascii="Cambria Math" w:hAnsi="Cambria Math" w:cs="Cambria Math"/>
                <w:sz w:val="22"/>
                <w:szCs w:val="22"/>
              </w:rPr>
              <m:t>h</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T-NORM</m:t>
            </m:r>
          </m:sub>
          <m:sup>
            <m:r>
              <w:rPr>
                <w:rFonts w:ascii="Cambria Math" w:hAnsi="Cambria Math"/>
                <w:sz w:val="22"/>
                <w:szCs w:val="22"/>
              </w:rPr>
              <m:t>d</m:t>
            </m:r>
          </m:sup>
        </m:sSubSup>
        <m:r>
          <w:rPr>
            <w:rFonts w:ascii="Cambria Math" w:hAnsi="Cambria Math" w:cs="Cambria Math"/>
            <w:sz w:val="22"/>
            <w:szCs w:val="22"/>
          </w:rPr>
          <m:t>⋅</m:t>
        </m:r>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T-SK-VYCHOZI</m:t>
            </m:r>
          </m:sub>
          <m:sup>
            <m:r>
              <w:rPr>
                <w:rFonts w:ascii="Cambria Math" w:hAnsi="Cambria Math" w:cs="Cambria Math"/>
                <w:sz w:val="22"/>
                <w:szCs w:val="22"/>
              </w:rPr>
              <m:t>h</m:t>
            </m:r>
          </m:sup>
        </m:sSubSup>
      </m:oMath>
      <w:r w:rsidR="00A7306D">
        <w:tab/>
      </w:r>
      <w:r w:rsidR="00482E83">
        <w:t>(8)</w:t>
      </w:r>
    </w:p>
    <w:p w:rsidR="00482E83" w:rsidRDefault="00482E83" w:rsidP="00430A13">
      <w:pPr>
        <w:pStyle w:val="Normln10"/>
      </w:pPr>
      <w:r>
        <w:t>Získáváme tak přímo normalizovaný TDD v souladu s Obchodními podmínkami OTE, podle kterých je</w:t>
      </w:r>
      <w:r w:rsidR="00921CAD">
        <w:t> </w:t>
      </w:r>
      <w:r>
        <w:t xml:space="preserve">obecně značen jako </w:t>
      </w:r>
      <w:r>
        <w:rPr>
          <w:i/>
        </w:rPr>
        <w:t>TDD</w:t>
      </w:r>
      <w:r>
        <w:rPr>
          <w:i/>
          <w:vertAlign w:val="subscript"/>
        </w:rPr>
        <w:t>n</w:t>
      </w:r>
      <w:r>
        <w:t xml:space="preserve"> , pro třídu typových diagramů </w:t>
      </w:r>
      <w:r>
        <w:rPr>
          <w:i/>
        </w:rPr>
        <w:t>t</w:t>
      </w:r>
      <w:r>
        <w:t xml:space="preserve"> a hodinu </w:t>
      </w:r>
      <w:r>
        <w:rPr>
          <w:i/>
        </w:rPr>
        <w:t>h</w:t>
      </w:r>
      <w:r>
        <w:t xml:space="preserve"> je značen </w:t>
      </w: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nt</m:t>
            </m:r>
          </m:sub>
          <m:sup>
            <m:r>
              <w:rPr>
                <w:rFonts w:ascii="Cambria Math" w:hAnsi="Cambria Math" w:cs="Cambria Math"/>
                <w:sz w:val="22"/>
                <w:szCs w:val="22"/>
              </w:rPr>
              <m:t>h</m:t>
            </m:r>
          </m:sup>
        </m:sSubSup>
      </m:oMath>
      <w:r w:rsidRPr="00430A13">
        <w:rPr>
          <w:rFonts w:ascii="Cambria Math" w:hAnsi="Cambria Math"/>
          <w:sz w:val="22"/>
          <w:szCs w:val="22"/>
        </w:rPr>
        <w:t>:</w:t>
      </w:r>
    </w:p>
    <w:p w:rsidR="00482E83" w:rsidRDefault="00430A13" w:rsidP="00430A13">
      <w:pPr>
        <w:pStyle w:val="Normln10"/>
        <w:tabs>
          <w:tab w:val="right" w:pos="9072"/>
        </w:tabs>
      </w:pP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nt</m:t>
            </m:r>
          </m:sub>
          <m:sup>
            <m:r>
              <w:rPr>
                <w:rFonts w:ascii="Cambria Math" w:hAnsi="Cambria Math" w:cs="Cambria Math"/>
                <w:sz w:val="22"/>
                <w:szCs w:val="22"/>
              </w:rPr>
              <m:t>h</m:t>
            </m:r>
          </m:sup>
        </m:sSubSup>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T-NORM</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sub>
          <m:sup>
            <m:r>
              <w:rPr>
                <w:rFonts w:ascii="Cambria Math" w:hAnsi="Cambria Math" w:cs="Cambria Math"/>
                <w:sz w:val="22"/>
                <w:szCs w:val="22"/>
              </w:rPr>
              <m:t>h</m:t>
            </m:r>
          </m:sup>
        </m:sSubSup>
      </m:oMath>
      <w:r w:rsidR="00A7306D">
        <w:tab/>
      </w:r>
      <w:r w:rsidR="00482E83">
        <w:t>(9)</w:t>
      </w:r>
    </w:p>
    <w:p w:rsidR="00482E83" w:rsidRDefault="00482E83" w:rsidP="00482E83">
      <w:pPr>
        <w:pStyle w:val="Normln10"/>
      </w:pPr>
      <w:r>
        <w:t>V rámci této kapitoly byly popsány základní přístupy při přepočtu teplotně skutečných TDD na teplotně normálové TDD. Z nich je pak odvozena i metodika „zpětného“ přepočtu normálových TDD na skutečné TDD v praxi provozu systému TDD na OTE, které je věnována následující kapitola 2.</w:t>
      </w:r>
    </w:p>
    <w:p w:rsidR="00E85225" w:rsidRDefault="00E85225" w:rsidP="00482E83">
      <w:pPr>
        <w:pStyle w:val="Normln10"/>
      </w:pPr>
    </w:p>
    <w:p w:rsidR="00E85225" w:rsidRDefault="00E85225" w:rsidP="00482E83">
      <w:pPr>
        <w:pStyle w:val="Normln10"/>
      </w:pPr>
    </w:p>
    <w:p w:rsidR="00E85225" w:rsidRDefault="00E85225" w:rsidP="00482E83">
      <w:pPr>
        <w:pStyle w:val="Normln10"/>
      </w:pPr>
    </w:p>
    <w:p w:rsidR="00E85225" w:rsidRDefault="00E85225" w:rsidP="00482E83">
      <w:pPr>
        <w:pStyle w:val="Normln10"/>
      </w:pPr>
    </w:p>
    <w:p w:rsidR="00E85225" w:rsidRDefault="00E85225" w:rsidP="00482E83">
      <w:pPr>
        <w:pStyle w:val="Normln10"/>
      </w:pPr>
    </w:p>
    <w:p w:rsidR="00E85225" w:rsidRDefault="00E85225" w:rsidP="00482E83">
      <w:pPr>
        <w:pStyle w:val="Normln10"/>
      </w:pPr>
    </w:p>
    <w:p w:rsidR="00E85225" w:rsidRDefault="00E85225" w:rsidP="00482E83">
      <w:pPr>
        <w:pStyle w:val="Normln10"/>
      </w:pPr>
    </w:p>
    <w:p w:rsidR="00E85225" w:rsidRDefault="00E85225" w:rsidP="00482E83">
      <w:pPr>
        <w:pStyle w:val="Normln10"/>
      </w:pPr>
    </w:p>
    <w:p w:rsidR="00E85225" w:rsidRDefault="00E85225" w:rsidP="00482E83">
      <w:pPr>
        <w:pStyle w:val="Normln10"/>
      </w:pPr>
    </w:p>
    <w:p w:rsidR="00E85225" w:rsidRDefault="00E85225" w:rsidP="00482E83">
      <w:pPr>
        <w:pStyle w:val="Normln10"/>
      </w:pPr>
    </w:p>
    <w:p w:rsidR="00482E83" w:rsidRDefault="005C2E2D" w:rsidP="00CA49F8">
      <w:pPr>
        <w:pStyle w:val="Nadpis1"/>
        <w:spacing w:before="360"/>
      </w:pPr>
      <w:r>
        <w:lastRenderedPageBreak/>
        <w:t>P</w:t>
      </w:r>
      <w:r w:rsidR="00482E83">
        <w:t>řepoč</w:t>
      </w:r>
      <w:r>
        <w:t>et</w:t>
      </w:r>
      <w:r w:rsidR="00482E83">
        <w:t xml:space="preserve"> TDD na</w:t>
      </w:r>
      <w:r w:rsidR="00C16925">
        <w:t> </w:t>
      </w:r>
      <w:r>
        <w:t xml:space="preserve">skutečné </w:t>
      </w:r>
      <w:r w:rsidR="00482E83">
        <w:t>teploty</w:t>
      </w:r>
    </w:p>
    <w:p w:rsidR="00482E83" w:rsidRDefault="00482E83" w:rsidP="00E85225">
      <w:pPr>
        <w:pStyle w:val="Normln10"/>
      </w:pPr>
      <w:r>
        <w:t xml:space="preserve">Postup při přepočtu normalizovaných </w:t>
      </w:r>
      <w:r>
        <w:rPr>
          <w:i/>
        </w:rPr>
        <w:t>TDD</w:t>
      </w:r>
      <w:r>
        <w:rPr>
          <w:i/>
          <w:vertAlign w:val="subscript"/>
        </w:rPr>
        <w:t>n</w:t>
      </w:r>
      <w:r>
        <w:t xml:space="preserve"> na skutečnou venkovní teplotu v praxi je koncipován v souladu se základními principy užití TDD. Hodinový TDD přepočtený na skutečné venkovní teploty je</w:t>
      </w:r>
      <w:r w:rsidR="00921CAD">
        <w:t> </w:t>
      </w:r>
      <w:r>
        <w:t>definován:</w:t>
      </w:r>
    </w:p>
    <w:p w:rsidR="00482E83" w:rsidRDefault="00430A13" w:rsidP="00430A13">
      <w:pPr>
        <w:pStyle w:val="Normln10"/>
        <w:tabs>
          <w:tab w:val="right" w:pos="9072"/>
        </w:tabs>
      </w:pP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pt</m:t>
            </m:r>
          </m:sub>
          <m:sup>
            <m:r>
              <w:rPr>
                <w:rFonts w:ascii="Cambria Math" w:hAnsi="Cambria Math" w:cs="Cambria Math"/>
                <w:sz w:val="22"/>
                <w:szCs w:val="22"/>
              </w:rPr>
              <m:t>h</m:t>
            </m:r>
          </m:sup>
        </m:sSubSup>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hAnsi="Cambria Math" w:cs="Cambria Math"/>
                <w:sz w:val="22"/>
                <w:szCs w:val="22"/>
              </w:rPr>
              <m:t>h</m:t>
            </m:r>
          </m:sup>
        </m:sSubSup>
        <m:r>
          <w:rPr>
            <w:rFonts w:ascii="Cambria Math" w:hAnsi="Cambria Math" w:cs="Cambria Math"/>
            <w:sz w:val="22"/>
            <w:szCs w:val="22"/>
          </w:rPr>
          <m:t>⋅</m:t>
        </m:r>
        <m:r>
          <w:rPr>
            <w:rFonts w:ascii="Cambria Math"/>
            <w:sz w:val="22"/>
            <w:szCs w:val="22"/>
          </w:rPr>
          <m:t>k</m:t>
        </m:r>
      </m:oMath>
      <w:r w:rsidR="00A7306D">
        <w:tab/>
      </w:r>
      <w:r w:rsidR="00482E83">
        <w:t>(10)</w:t>
      </w:r>
    </w:p>
    <w:p w:rsidR="00482E83" w:rsidRDefault="00482E83" w:rsidP="00482E83">
      <w:pPr>
        <w:pStyle w:val="Normln10"/>
        <w:rPr>
          <w:i/>
        </w:rPr>
      </w:pPr>
      <w:r>
        <w:t xml:space="preserve">Hlavním úkolem je tedy stanovit obecně definovaný koeficient </w:t>
      </w:r>
      <w:r>
        <w:rPr>
          <w:i/>
        </w:rPr>
        <w:t>k.</w:t>
      </w:r>
    </w:p>
    <w:p w:rsidR="00482E83" w:rsidRDefault="00482E83" w:rsidP="00482E83">
      <w:pPr>
        <w:pStyle w:val="Normln10"/>
      </w:pPr>
      <w:r>
        <w:t>Přitom se musí vycházet z postupu přepočtu TDD sestaveného z naměřených dat za ucelené období na</w:t>
      </w:r>
      <w:r w:rsidR="00921CAD">
        <w:t> </w:t>
      </w:r>
      <w:r>
        <w:t xml:space="preserve">normálový TDD. Zjednodušeně se dá říci, že stejné vztahy a vazby, které nás dovedly k průběhům normalizovaných </w:t>
      </w:r>
      <w:r>
        <w:rPr>
          <w:i/>
        </w:rPr>
        <w:t>TDD</w:t>
      </w:r>
      <w:r>
        <w:rPr>
          <w:i/>
          <w:vertAlign w:val="subscript"/>
        </w:rPr>
        <w:t>n</w:t>
      </w:r>
      <w:r>
        <w:t xml:space="preserve">, musí být využity pro zjištění průběhů </w:t>
      </w:r>
      <w:r>
        <w:rPr>
          <w:i/>
        </w:rPr>
        <w:t>TDD</w:t>
      </w:r>
      <w:r>
        <w:rPr>
          <w:i/>
          <w:vertAlign w:val="subscript"/>
        </w:rPr>
        <w:t>p</w:t>
      </w:r>
      <w:r>
        <w:t xml:space="preserve"> , a to pro všechny třídy typových diagramů </w:t>
      </w:r>
      <w:r>
        <w:rPr>
          <w:i/>
        </w:rPr>
        <w:t>t</w:t>
      </w:r>
      <w:r>
        <w:t>.</w:t>
      </w:r>
    </w:p>
    <w:p w:rsidR="00482E83" w:rsidRDefault="00482E83" w:rsidP="007D7C81">
      <w:pPr>
        <w:pStyle w:val="Textpoznmky"/>
        <w:numPr>
          <w:ilvl w:val="0"/>
          <w:numId w:val="36"/>
        </w:numPr>
        <w:ind w:left="992" w:hanging="992"/>
      </w:pPr>
      <w:r>
        <w:t xml:space="preserve">V případě regionálních TDD se ve všech následujících vztazích pod obecnou proměnnou </w:t>
      </w:r>
      <w:r>
        <w:rPr>
          <w:i/>
        </w:rPr>
        <w:t>t</w:t>
      </w:r>
      <w:r>
        <w:t xml:space="preserve"> skrývá nejenom označení třídy TDD5, ale i příslušného regionu (tedy např. TDD5 PRE).</w:t>
      </w:r>
    </w:p>
    <w:p w:rsidR="00482E83" w:rsidRDefault="00482E83" w:rsidP="00482E83">
      <w:pPr>
        <w:pStyle w:val="Normln10"/>
      </w:pPr>
      <w:r>
        <w:t xml:space="preserve">Pro stanovení hledaného koeficientu </w:t>
      </w:r>
      <w:r>
        <w:rPr>
          <w:i/>
        </w:rPr>
        <w:t>k</w:t>
      </w:r>
      <w:r>
        <w:t xml:space="preserve"> v rovnici (10) je třeba nejprve na začátku celého postupu připravit vstupní veličiny. </w:t>
      </w:r>
    </w:p>
    <w:p w:rsidR="00482E83" w:rsidRDefault="00482E83" w:rsidP="00482E83">
      <w:pPr>
        <w:pStyle w:val="Normln10"/>
      </w:pPr>
      <w:r>
        <w:t xml:space="preserve">U teplot platí již dříve uvedená zásada, že pro přepočty celostátních </w:t>
      </w:r>
      <w:bookmarkStart w:id="2" w:name="_GoBack"/>
      <w:bookmarkEnd w:id="2"/>
      <w:r>
        <w:t>se používají celostátní skutečné teploty a celostátní teplotní normály. V případě regionálních TDD ve třídě TDD5 se používají vždy odpovídající regionální skutečné a normálové teploty (tedy např.</w:t>
      </w:r>
      <w:r w:rsidR="00921CAD">
        <w:t> </w:t>
      </w:r>
      <w:r>
        <w:t>pro TDD5 PRE se musí použít regionální skutečné teplota platná pro „území PRE“ a rovněž teplotní normál stanovený pro „území PRE“). Samotný způsob aplikace celostátních a regionálních teplot v</w:t>
      </w:r>
      <w:r w:rsidR="00921CAD">
        <w:t> </w:t>
      </w:r>
      <w:r>
        <w:t xml:space="preserve">přepočtech TDD je však naprosto shodný, proto již v dalším postupu není třeba od sebe odlišovat regionální a celostátní teploty. </w:t>
      </w:r>
    </w:p>
    <w:p w:rsidR="00482E83" w:rsidRDefault="00482E83" w:rsidP="00482E83">
      <w:pPr>
        <w:pStyle w:val="Normln10"/>
      </w:pPr>
      <w:r>
        <w:t xml:space="preserve">Po zjištění konkrétní průměrné teploty v posuzovaném dni </w:t>
      </w:r>
      <w:r>
        <w:rPr>
          <w:i/>
        </w:rPr>
        <w:t>D</w:t>
      </w:r>
      <w:r>
        <w:t xml:space="preserve"> je nutno z ní samotné a řady devíti předchozích spočítat vyhlazený průměr, a to dle vztahu (2), který je pro připomenutí zopakován:</w:t>
      </w:r>
    </w:p>
    <w:p w:rsidR="00482E83" w:rsidRDefault="00E46DF3" w:rsidP="00482E83">
      <w:pPr>
        <w:pStyle w:val="Normln10"/>
      </w:pPr>
      <m:oMath>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vyh_i</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2</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4</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i-1</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8</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i-2</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16</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i-3</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32</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i-4</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64</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i-5</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128</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i-6</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256</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i-7</m:t>
            </m:r>
          </m:sub>
        </m:sSub>
        <m:r>
          <w:rPr>
            <w:rFonts w:ascii="Cambria Math" w:hAnsi="Cambria Math"/>
            <w:color w:val="auto"/>
            <w:sz w:val="22"/>
            <w:szCs w:val="22"/>
          </w:rPr>
          <m:t>+                +</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512</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i-8</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1024</m:t>
            </m:r>
          </m:den>
        </m:f>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m:t>
            </m:r>
          </m:e>
          <m:sub>
            <m:r>
              <w:rPr>
                <w:rFonts w:ascii="Cambria Math" w:hAnsi="Cambria Math"/>
                <w:color w:val="auto"/>
                <w:sz w:val="22"/>
                <w:szCs w:val="22"/>
              </w:rPr>
              <m:t>i-9</m:t>
            </m:r>
          </m:sub>
        </m:sSub>
      </m:oMath>
      <w:r w:rsidR="00CA49F8">
        <w:rPr>
          <w:color w:val="auto"/>
          <w:sz w:val="22"/>
          <w:szCs w:val="22"/>
        </w:rPr>
        <w:t xml:space="preserve"> </w:t>
      </w:r>
    </w:p>
    <w:p w:rsidR="00482E83" w:rsidRDefault="00482E83" w:rsidP="007D7C81">
      <w:pPr>
        <w:spacing w:before="120" w:after="120"/>
      </w:pPr>
      <w:r>
        <w:t>kde</w:t>
      </w:r>
    </w:p>
    <w:p w:rsidR="00482E83" w:rsidRDefault="00E46DF3" w:rsidP="00430A13">
      <m:oMath>
        <m:sSub>
          <m:sSubPr>
            <m:ctrlPr>
              <w:rPr>
                <w:rFonts w:ascii="Cambria Math" w:hAnsi="Cambria Math"/>
                <w:i/>
                <w:sz w:val="22"/>
                <w:szCs w:val="22"/>
              </w:rPr>
            </m:ctrlPr>
          </m:sSubPr>
          <m:e>
            <m:r>
              <w:rPr>
                <w:rFonts w:ascii="Cambria Math"/>
                <w:sz w:val="22"/>
                <w:szCs w:val="22"/>
              </w:rPr>
              <m:t>T</m:t>
            </m:r>
          </m:e>
          <m:sub>
            <m:r>
              <w:rPr>
                <w:rFonts w:ascii="Cambria Math"/>
                <w:sz w:val="22"/>
                <w:szCs w:val="22"/>
              </w:rPr>
              <m:t>vy</m:t>
            </m:r>
            <m:r>
              <w:rPr>
                <w:rFonts w:ascii="Cambria Math" w:hAnsi="Cambria Math" w:cs="Cambria Math"/>
                <w:sz w:val="22"/>
                <w:szCs w:val="22"/>
              </w:rPr>
              <m:t>h</m:t>
            </m:r>
            <m:func>
              <m:funcPr>
                <m:ctrlPr>
                  <w:rPr>
                    <w:rFonts w:ascii="Cambria Math" w:hAnsi="Cambria Math"/>
                    <w:i/>
                    <w:sz w:val="22"/>
                    <w:szCs w:val="22"/>
                  </w:rPr>
                </m:ctrlPr>
              </m:funcPr>
              <m:fName>
                <m:r>
                  <w:rPr>
                    <w:rFonts w:ascii="Cambria Math"/>
                    <w:sz w:val="22"/>
                    <w:szCs w:val="22"/>
                  </w:rPr>
                  <m:t>_</m:t>
                </m:r>
              </m:fName>
              <m:e>
                <m:r>
                  <w:rPr>
                    <w:rFonts w:ascii="Cambria Math"/>
                    <w:sz w:val="22"/>
                    <w:szCs w:val="22"/>
                  </w:rPr>
                  <m:t>i</m:t>
                </m:r>
              </m:e>
            </m:func>
          </m:sub>
        </m:sSub>
      </m:oMath>
      <w:r w:rsidR="00482E83">
        <w:tab/>
      </w:r>
      <w:r w:rsidR="00482E83">
        <w:tab/>
      </w:r>
      <w:r w:rsidR="00482E83">
        <w:tab/>
        <w:t xml:space="preserve">je spočtená vyhlazená teplota ve dni </w:t>
      </w:r>
      <w:r w:rsidR="00482E83">
        <w:rPr>
          <w:i/>
        </w:rPr>
        <w:t>i</w:t>
      </w:r>
    </w:p>
    <w:p w:rsidR="00482E83" w:rsidRDefault="00E46DF3" w:rsidP="00430A13">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oMath>
      <w:r w:rsidR="00482E83" w:rsidRPr="00430A13">
        <w:rPr>
          <w:rFonts w:ascii="Cambria Math" w:hAnsi="Cambria Math"/>
          <w:sz w:val="22"/>
          <w:szCs w:val="22"/>
        </w:rPr>
        <w:t xml:space="preserve"> …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i-9</m:t>
            </m:r>
          </m:sub>
        </m:sSub>
      </m:oMath>
      <w:r w:rsidR="00482E83">
        <w:tab/>
      </w:r>
      <w:r w:rsidR="00482E83">
        <w:tab/>
        <w:t xml:space="preserve">jsou teploty ve dni i až postupně ve dni </w:t>
      </w:r>
      <w:r w:rsidR="00482E83">
        <w:rPr>
          <w:i/>
        </w:rPr>
        <w:t>i-9</w:t>
      </w:r>
      <w:r w:rsidR="00482E83">
        <w:t>.</w:t>
      </w:r>
    </w:p>
    <w:p w:rsidR="00482E83" w:rsidRDefault="00482E83" w:rsidP="00FE342E">
      <w:pPr>
        <w:pStyle w:val="Normln10"/>
      </w:pPr>
      <w:r>
        <w:t>Podle stejného vztahu musí být vyhlazeny i teploty normálové, ty ovšem budou známy předem a teoreticky mohou být již v podobě vyhlazené.</w:t>
      </w:r>
    </w:p>
    <w:p w:rsidR="00482E83" w:rsidRDefault="00482E83" w:rsidP="00482E83">
      <w:pPr>
        <w:pStyle w:val="Normln10"/>
      </w:pPr>
      <w:r>
        <w:t xml:space="preserve">Vstupem je přitom vždy posloupnost 1 </w:t>
      </w:r>
      <w:r w:rsidRPr="00C16925">
        <w:t>až 36</w:t>
      </w:r>
      <w:r w:rsidR="007D7C81" w:rsidRPr="00C16925">
        <w:t>5</w:t>
      </w:r>
      <w:r w:rsidRPr="00C16925">
        <w:t xml:space="preserve"> hodnot</w:t>
      </w:r>
      <w:r>
        <w:t xml:space="preserve"> normálových teplot, která jsou k dispozici od ČHMÚ.</w:t>
      </w:r>
    </w:p>
    <w:p w:rsidR="00482E83" w:rsidRDefault="00482E83" w:rsidP="00482E83">
      <w:pPr>
        <w:pStyle w:val="Normln10"/>
      </w:pPr>
      <w:r>
        <w:t>V minulosti byly upraveny posloupnosti normálových teplot pro den 29. února, kdy se pro stanovení hodnot normálových teplot využil průměr z předchozí a následující hodnoty, tj. údajů ze dnů 28. 2. a 1.</w:t>
      </w:r>
      <w:r w:rsidR="007D7C81">
        <w:t> </w:t>
      </w:r>
      <w:r>
        <w:t>3. Důvodem této změny byla skutečnost, že 29. únor se vyskytuje jen jedenkrát za 4 roky, a proto byl i</w:t>
      </w:r>
      <w:r w:rsidR="00921CAD">
        <w:t> </w:t>
      </w:r>
      <w:r>
        <w:t>při</w:t>
      </w:r>
      <w:r w:rsidR="00921CAD">
        <w:t> </w:t>
      </w:r>
      <w:r>
        <w:t>vytváření normálu k dispozici jen čtvrtinový počet hodnot. Shodou okolností pak došlo k tomu, že</w:t>
      </w:r>
      <w:r w:rsidR="00921CAD">
        <w:t> </w:t>
      </w:r>
      <w:r>
        <w:t>skutečné teploty ve dnech 29. února v historické řadě byly spíše vyšší</w:t>
      </w:r>
      <w:r w:rsidR="00830C94">
        <w:t>,</w:t>
      </w:r>
      <w:r>
        <w:t xml:space="preserve"> a proto byla také původní hodnota normálu výrazněji odlišná od hodnot v sousedních dnech.</w:t>
      </w:r>
    </w:p>
    <w:p w:rsidR="00482E83" w:rsidRPr="00830C94" w:rsidRDefault="00482E83" w:rsidP="00482E83">
      <w:pPr>
        <w:pStyle w:val="Normln10"/>
        <w:rPr>
          <w:rStyle w:val="Zdraznnintenzivn"/>
          <w:i w:val="0"/>
        </w:rPr>
      </w:pPr>
      <w:r w:rsidRPr="00830C94">
        <w:rPr>
          <w:rStyle w:val="Zdraznnintenzivn"/>
          <w:i w:val="0"/>
        </w:rPr>
        <w:lastRenderedPageBreak/>
        <w:t>Takto upravené řady teplotních normálů byly zveřejněny v roce 2008 a od té doby jsou v platnosti. Beze změn tedy platí i pro následující rok 20</w:t>
      </w:r>
      <w:r w:rsidR="003B67D2">
        <w:rPr>
          <w:rStyle w:val="Zdraznnintenzivn"/>
          <w:i w:val="0"/>
        </w:rPr>
        <w:t>20</w:t>
      </w:r>
      <w:r w:rsidRPr="00830C94">
        <w:rPr>
          <w:rStyle w:val="Zdraznnintenzivn"/>
          <w:i w:val="0"/>
        </w:rPr>
        <w:t>.</w:t>
      </w:r>
    </w:p>
    <w:p w:rsidR="00482E83" w:rsidRDefault="00482E83" w:rsidP="00482E83">
      <w:pPr>
        <w:pStyle w:val="Normln10"/>
        <w:rPr>
          <w:color w:val="auto"/>
        </w:rPr>
      </w:pPr>
      <w:r>
        <w:t xml:space="preserve">Pro výpočet vyhlazených teplot na celý kalendářní rok dle předchozího vztahu je třeba znát i posledních devět hodnot teplot z předchozího roku. U normálových teplot se postupuje tak, že se dané posloupnosti normálových teplot v těchto dvou kalendářních letech seskládají chronologicky za sebe. </w:t>
      </w:r>
    </w:p>
    <w:p w:rsidR="00DD19D4" w:rsidRDefault="00482E83" w:rsidP="00482E83">
      <w:pPr>
        <w:pStyle w:val="Normln10"/>
      </w:pPr>
      <w:r>
        <w:t>Jestliže tedy chceme spočítat vyhlazené normálové teploty např. pro rok 2009, musí se postupovat následovně. Seskládá se průběh normálových teplot pro roky 2008 a 2009, tedy nejprve posloupnost 1</w:t>
      </w:r>
      <w:r w:rsidR="00921CAD">
        <w:t> </w:t>
      </w:r>
      <w:r>
        <w:t>až 366 hodnot normálových teplot (pro rok 2008) a za ní úplně stejná posloupnost 1 až 365 hodnot normálových teplot (pro rok 2009). Na základě takto sestavených hodnot již lze spočítat dle příslušného vzorce (2) průběh vyhlazených normálových teplot v roce 2009.</w:t>
      </w:r>
    </w:p>
    <w:p w:rsidR="00482E83" w:rsidRDefault="00482E83" w:rsidP="00430A13">
      <w:pPr>
        <w:pStyle w:val="Normln10"/>
      </w:pPr>
      <w:r>
        <w:t xml:space="preserve">V dalším postupu je třeba z 24 (příp. z 23 nebo 25 při přechodu letního a zimního času) hodinových hodnot každého průběhu </w:t>
      </w: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nt</m:t>
            </m:r>
          </m:sub>
          <m:sup>
            <m:r>
              <w:rPr>
                <w:rFonts w:ascii="Cambria Math" w:hAnsi="Cambria Math"/>
                <w:sz w:val="22"/>
                <w:szCs w:val="22"/>
              </w:rPr>
              <m:t>h</m:t>
            </m:r>
          </m:sup>
        </m:sSubSup>
      </m:oMath>
      <w:r>
        <w:t xml:space="preserve"> v posuzovaném dni </w:t>
      </w:r>
      <w:r>
        <w:rPr>
          <w:i/>
        </w:rPr>
        <w:t xml:space="preserve">D </w:t>
      </w:r>
      <w:r>
        <w:t xml:space="preserve">spočítat hodnotu denního průměru </w:t>
      </w: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sz w:val="22"/>
                <w:szCs w:val="22"/>
              </w:rPr>
              <m:t>d</m:t>
            </m:r>
          </m:sup>
        </m:sSubSup>
      </m:oMath>
      <w:r>
        <w:t xml:space="preserve"> dle jednoduchého vztahu:</w:t>
      </w:r>
    </w:p>
    <w:p w:rsidR="00482E83" w:rsidRDefault="00430A13" w:rsidP="00430A13">
      <w:pPr>
        <w:pStyle w:val="Normln10"/>
        <w:tabs>
          <w:tab w:val="right" w:pos="9072"/>
        </w:tabs>
      </w:pP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sz w:val="22"/>
                <w:szCs w:val="22"/>
              </w:rPr>
              <m:t>d</m:t>
            </m:r>
          </m:sup>
        </m:sSubSup>
        <m:r>
          <w:rPr>
            <w:rFonts w:ascii="Cambria Math"/>
            <w:sz w:val="22"/>
            <w:szCs w:val="22"/>
          </w:rPr>
          <m:t>=</m:t>
        </m:r>
        <m:f>
          <m:fPr>
            <m:ctrlPr>
              <w:rPr>
                <w:rFonts w:ascii="Cambria Math" w:hAnsi="Cambria Math"/>
                <w:i/>
                <w:sz w:val="22"/>
                <w:szCs w:val="22"/>
              </w:rPr>
            </m:ctrlPr>
          </m:fPr>
          <m:num>
            <m:nary>
              <m:naryPr>
                <m:chr m:val="∑"/>
                <m:ctrlPr>
                  <w:rPr>
                    <w:rFonts w:ascii="Cambria Math" w:hAnsi="Cambria Math"/>
                    <w:i/>
                    <w:sz w:val="22"/>
                    <w:szCs w:val="22"/>
                  </w:rPr>
                </m:ctrlPr>
              </m:naryPr>
              <m:sub>
                <m:r>
                  <w:rPr>
                    <w:rFonts w:ascii="Cambria Math" w:hAnsi="Cambria Math" w:cs="Cambria Math"/>
                    <w:sz w:val="22"/>
                    <w:szCs w:val="22"/>
                  </w:rPr>
                  <m:t>h</m:t>
                </m:r>
                <m:r>
                  <w:rPr>
                    <w:rFonts w:ascii="Cambria Math"/>
                    <w:sz w:val="22"/>
                    <w:szCs w:val="22"/>
                  </w:rPr>
                  <m:t>=1</m:t>
                </m:r>
              </m:sub>
              <m:sup>
                <m:sSub>
                  <m:sSubPr>
                    <m:ctrlPr>
                      <w:rPr>
                        <w:rFonts w:ascii="Cambria Math" w:hAnsi="Cambria Math"/>
                        <w:i/>
                        <w:sz w:val="22"/>
                        <w:szCs w:val="22"/>
                      </w:rPr>
                    </m:ctrlPr>
                  </m:sSubPr>
                  <m:e>
                    <m:r>
                      <w:rPr>
                        <w:rFonts w:ascii="Cambria Math"/>
                        <w:sz w:val="22"/>
                        <w:szCs w:val="22"/>
                      </w:rPr>
                      <m:t>H</m:t>
                    </m:r>
                  </m:e>
                  <m:sub>
                    <m:r>
                      <w:rPr>
                        <w:rFonts w:ascii="Cambria Math"/>
                        <w:sz w:val="22"/>
                        <w:szCs w:val="22"/>
                      </w:rPr>
                      <m:t>D</m:t>
                    </m:r>
                  </m:sub>
                </m:sSub>
              </m:sup>
              <m:e>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hAnsi="Cambria Math" w:cs="Cambria Math"/>
                        <w:sz w:val="22"/>
                        <w:szCs w:val="22"/>
                      </w:rPr>
                      <m:t>h</m:t>
                    </m:r>
                  </m:sup>
                </m:sSubSup>
              </m:e>
            </m:nary>
          </m:num>
          <m:den>
            <m:sSub>
              <m:sSubPr>
                <m:ctrlPr>
                  <w:rPr>
                    <w:rFonts w:ascii="Cambria Math" w:hAnsi="Cambria Math"/>
                    <w:i/>
                    <w:sz w:val="22"/>
                    <w:szCs w:val="22"/>
                  </w:rPr>
                </m:ctrlPr>
              </m:sSubPr>
              <m:e>
                <m:r>
                  <w:rPr>
                    <w:rFonts w:ascii="Cambria Math"/>
                    <w:sz w:val="22"/>
                    <w:szCs w:val="22"/>
                  </w:rPr>
                  <m:t>H</m:t>
                </m:r>
              </m:e>
              <m:sub>
                <m:r>
                  <w:rPr>
                    <w:rFonts w:ascii="Cambria Math"/>
                    <w:sz w:val="22"/>
                    <w:szCs w:val="22"/>
                  </w:rPr>
                  <m:t>D</m:t>
                </m:r>
              </m:sub>
            </m:sSub>
          </m:den>
        </m:f>
      </m:oMath>
      <w:r w:rsidR="00A7306D">
        <w:tab/>
      </w:r>
      <w:r w:rsidR="00482E83">
        <w:t>(11)</w:t>
      </w:r>
    </w:p>
    <w:p w:rsidR="00482E83" w:rsidRDefault="00482E83" w:rsidP="00430A13">
      <w:pPr>
        <w:spacing w:before="120" w:after="120"/>
      </w:pPr>
      <w:r>
        <w:t xml:space="preserve">kde </w:t>
      </w:r>
      <m:oMath>
        <m:sSub>
          <m:sSubPr>
            <m:ctrlPr>
              <w:rPr>
                <w:rFonts w:ascii="Cambria Math" w:hAnsi="Cambria Math"/>
                <w:i/>
              </w:rPr>
            </m:ctrlPr>
          </m:sSubPr>
          <m:e>
            <m:r>
              <w:rPr>
                <w:rFonts w:ascii="Cambria Math"/>
              </w:rPr>
              <m:t>H</m:t>
            </m:r>
          </m:e>
          <m:sub>
            <m:r>
              <w:rPr>
                <w:rFonts w:ascii="Cambria Math"/>
              </w:rPr>
              <m:t>D</m:t>
            </m:r>
          </m:sub>
        </m:sSub>
      </m:oMath>
      <w:r>
        <w:t xml:space="preserve"> je počet hodin v daném dni (pracuje se v zimním a letním čase).</w:t>
      </w:r>
    </w:p>
    <w:p w:rsidR="00482E83" w:rsidRDefault="00482E83" w:rsidP="00430A13">
      <w:pPr>
        <w:pStyle w:val="Normln10"/>
      </w:pPr>
      <w:r>
        <w:t xml:space="preserve">V dalším postupu lze upravit obecnou rovnici (6) pro výpočet přepočtených průběhů TDD v budoucí praxi v obchodním dni </w:t>
      </w:r>
      <w:r>
        <w:rPr>
          <w:i/>
        </w:rPr>
        <w:t>D</w:t>
      </w:r>
      <w:r>
        <w:t xml:space="preserve">, označených jako </w:t>
      </w: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pt</m:t>
            </m:r>
          </m:sub>
          <m:sup>
            <m:r>
              <w:rPr>
                <w:rFonts w:ascii="Cambria Math" w:hAnsi="Cambria Math"/>
                <w:sz w:val="22"/>
                <w:szCs w:val="22"/>
              </w:rPr>
              <m:t>h</m:t>
            </m:r>
          </m:sup>
        </m:sSubSup>
      </m:oMath>
      <w:r w:rsidRPr="00830C94">
        <w:rPr>
          <w:sz w:val="22"/>
          <w:szCs w:val="22"/>
        </w:rPr>
        <w:t>.</w:t>
      </w:r>
      <w:r>
        <w:t xml:space="preserve"> Z rovnice (6) lze však dovodit tyto </w:t>
      </w:r>
      <w:r w:rsidR="00830C94">
        <w:t>průběhy</w:t>
      </w:r>
      <w:r>
        <w:t xml:space="preserve"> TDD pouze na</w:t>
      </w:r>
      <w:r w:rsidR="00921CAD">
        <w:t> </w:t>
      </w:r>
      <w:r>
        <w:t xml:space="preserve">úrovni denních průměrů (označeny jako </w:t>
      </w: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pt</m:t>
            </m:r>
          </m:sub>
          <m:sup>
            <m:r>
              <w:rPr>
                <w:rFonts w:ascii="Cambria Math"/>
                <w:sz w:val="22"/>
                <w:szCs w:val="22"/>
              </w:rPr>
              <m:t>d</m:t>
            </m:r>
          </m:sup>
        </m:sSubSup>
      </m:oMath>
      <w:r>
        <w:t xml:space="preserve">): </w:t>
      </w:r>
    </w:p>
    <w:p w:rsidR="00482E83" w:rsidRDefault="00430A13" w:rsidP="00CA49F8">
      <w:pPr>
        <w:pStyle w:val="Normln10"/>
        <w:tabs>
          <w:tab w:val="right" w:pos="9072"/>
        </w:tabs>
        <w:jc w:val="center"/>
      </w:pPr>
      <m:oMathPara>
        <m:oMathParaPr>
          <m:jc m:val="left"/>
        </m:oMathParaPr>
        <m:oMath>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pt</m:t>
              </m:r>
            </m:sub>
            <m:sup>
              <m:r>
                <w:rPr>
                  <w:rFonts w:ascii="Cambria Math" w:hAnsi="Cambria Math"/>
                  <w:sz w:val="22"/>
                  <w:szCs w:val="22"/>
                </w:rPr>
                <m:t>d</m:t>
              </m:r>
            </m:sup>
          </m:sSubSup>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T-NORM</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sub>
            <m:sup>
              <m:r>
                <w:rPr>
                  <w:rFonts w:ascii="Cambria Math" w:hAnsi="Cambria Math"/>
                  <w:sz w:val="22"/>
                  <w:szCs w:val="22"/>
                </w:rPr>
                <m:t>d</m:t>
              </m:r>
            </m:sup>
          </m:sSubSup>
          <m:r>
            <w:rPr>
              <w:rFonts w:ascii="Cambria Math" w:hAnsi="Cambria Math"/>
              <w:sz w:val="22"/>
              <w:szCs w:val="22"/>
            </w:rPr>
            <m:t>+</m:t>
          </m:r>
          <m:r>
            <m:rPr>
              <m:sty m:val="p"/>
            </m:rPr>
            <w:rPr>
              <w:rFonts w:ascii="Cambria Math" w:hAnsi="Cambria Math"/>
              <w:sz w:val="22"/>
              <w:szCs w:val="22"/>
            </w:rPr>
            <w:br/>
          </m:r>
        </m:oMath>
      </m:oMathPara>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vsk</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D</m:t>
                                    </m:r>
                                  </m:e>
                                </m:func>
                              </m:sub>
                            </m:sSub>
                          </m:e>
                        </m:d>
                      </m:e>
                    </m:d>
                  </m:e>
                </m:func>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e>
                        </m:d>
                      </m:e>
                    </m:d>
                  </m:e>
                </m:func>
              </m:den>
            </m:f>
          </m:e>
        </m:d>
      </m:oMath>
      <w:r w:rsidR="00482E83">
        <w:tab/>
        <w:t>(12)</w:t>
      </w:r>
    </w:p>
    <w:p w:rsidR="00482E83" w:rsidRDefault="00482E83" w:rsidP="00482E83">
      <w:pPr>
        <w:pStyle w:val="Normln10"/>
      </w:pPr>
      <w:r>
        <w:t>Dosazením z rovnice (9) do rovnice (12) přímo dostáváme:</w:t>
      </w:r>
    </w:p>
    <w:p w:rsidR="00482E83" w:rsidRDefault="00430A13" w:rsidP="00430A13">
      <w:pPr>
        <w:pStyle w:val="Normln10"/>
        <w:tabs>
          <w:tab w:val="right" w:pos="9072"/>
        </w:tabs>
      </w:pPr>
      <m:oMathPara>
        <m:oMathParaPr>
          <m:jc m:val="left"/>
        </m:oMathParaP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pt</m:t>
              </m:r>
            </m:sub>
            <m:sup>
              <m:r>
                <w:rPr>
                  <w:rFonts w:ascii="Cambria Math"/>
                  <w:sz w:val="22"/>
                  <w:szCs w:val="22"/>
                </w:rPr>
                <m:t>d</m:t>
              </m:r>
            </m:sup>
          </m:sSubSup>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sz w:val="22"/>
                  <w:szCs w:val="22"/>
                </w:rPr>
                <m:t>d</m:t>
              </m:r>
            </m:sup>
          </m:sSubSup>
          <m:r>
            <w:rPr>
              <w:rFonts w:ascii="Cambria Math"/>
              <w:sz w:val="22"/>
              <w:szCs w:val="22"/>
            </w:rPr>
            <m:t>+</m:t>
          </m:r>
          <m:r>
            <m:rPr>
              <m:sty m:val="p"/>
            </m:rPr>
            <w:rPr>
              <w:rFonts w:ascii="Cambria Math"/>
              <w:sz w:val="22"/>
              <w:szCs w:val="22"/>
            </w:rPr>
            <w:br/>
          </m:r>
        </m:oMath>
      </m:oMathPara>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vsk</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D</m:t>
                                    </m:r>
                                  </m:e>
                                </m:func>
                              </m:sub>
                            </m:sSub>
                          </m:e>
                        </m:d>
                      </m:e>
                    </m:d>
                  </m:e>
                </m:func>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e>
                        </m:d>
                      </m:e>
                    </m:d>
                  </m:e>
                </m:func>
              </m:den>
            </m:f>
          </m:e>
        </m:d>
      </m:oMath>
      <w:r w:rsidR="00482E83">
        <w:tab/>
        <w:t>(13)</w:t>
      </w:r>
    </w:p>
    <w:p w:rsidR="00482E83" w:rsidRDefault="00482E83" w:rsidP="00482E83">
      <w:r>
        <w:t>kde</w:t>
      </w:r>
    </w:p>
    <w:p w:rsidR="00482E83" w:rsidRDefault="00430A13" w:rsidP="00430A13">
      <w:pPr>
        <w:pStyle w:val="Normln10"/>
        <w:ind w:left="1416" w:hanging="1416"/>
      </w:pP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pt</m:t>
            </m:r>
          </m:sub>
          <m:sup>
            <m:r>
              <w:rPr>
                <w:rFonts w:ascii="Cambria Math"/>
                <w:sz w:val="22"/>
                <w:szCs w:val="22"/>
              </w:rPr>
              <m:t>d</m:t>
            </m:r>
          </m:sup>
        </m:sSubSup>
      </m:oMath>
      <w:r w:rsidR="00482E83">
        <w:tab/>
      </w:r>
      <w:r w:rsidR="00482E83">
        <w:tab/>
        <w:t xml:space="preserve">je denní průměrná hodnota TDD přepočteného na skutečnou průměrnou teplotu v obchodním dni </w:t>
      </w:r>
      <w:r w:rsidR="00482E83">
        <w:rPr>
          <w:i/>
        </w:rPr>
        <w:t>D</w:t>
      </w:r>
      <w:r w:rsidR="00482E83">
        <w:t>,</w:t>
      </w:r>
    </w:p>
    <w:p w:rsidR="00482E83" w:rsidRDefault="00430A13" w:rsidP="00430A13">
      <w:pPr>
        <w:pStyle w:val="Normln10"/>
        <w:ind w:left="1416" w:hanging="1416"/>
      </w:pP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sz w:val="22"/>
                <w:szCs w:val="22"/>
              </w:rPr>
              <m:t>d</m:t>
            </m:r>
          </m:sup>
        </m:sSubSup>
      </m:oMath>
      <w:r w:rsidR="00482E83">
        <w:tab/>
      </w:r>
      <w:r w:rsidR="00482E83">
        <w:tab/>
        <w:t xml:space="preserve">je denní průměrná hodnota TDD přepočteného na normálovou průměrnou teplotu v obchodním dni </w:t>
      </w:r>
      <w:r w:rsidR="00482E83">
        <w:rPr>
          <w:i/>
        </w:rPr>
        <w:t>D</w:t>
      </w:r>
      <w:r w:rsidR="00482E83">
        <w:t>, hodnota se získá výpočtem z hodinového průběhu (viz (12)), které</w:t>
      </w:r>
      <w:r w:rsidR="00921CAD">
        <w:t> </w:t>
      </w:r>
      <w:r w:rsidR="00482E83">
        <w:t xml:space="preserve">budou dodány zpracovatelem jako výchozí průběhy pro všechny třídy </w:t>
      </w:r>
      <w:r w:rsidR="00482E83">
        <w:rPr>
          <w:i/>
        </w:rPr>
        <w:t>t</w:t>
      </w:r>
      <w:r w:rsidR="00482E83">
        <w:t xml:space="preserve"> ,</w:t>
      </w:r>
    </w:p>
    <w:p w:rsidR="00482E83" w:rsidRDefault="00E46DF3" w:rsidP="00430A13">
      <w:pPr>
        <w:pStyle w:val="Normln10"/>
        <w:ind w:left="1416" w:hanging="1416"/>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n</m:t>
            </m:r>
            <m:func>
              <m:funcPr>
                <m:ctrlPr>
                  <w:rPr>
                    <w:rFonts w:ascii="Cambria Math" w:hAnsi="Cambria Math"/>
                    <w:i/>
                    <w:sz w:val="22"/>
                    <w:szCs w:val="22"/>
                  </w:rPr>
                </m:ctrlPr>
              </m:funcPr>
              <m:fName>
                <m:r>
                  <w:rPr>
                    <w:rFonts w:ascii="Cambria Math"/>
                    <w:sz w:val="22"/>
                    <w:szCs w:val="22"/>
                  </w:rPr>
                  <m:t>_</m:t>
                </m:r>
              </m:fName>
              <m:e>
                <m:r>
                  <w:rPr>
                    <w:rFonts w:ascii="Cambria Math"/>
                    <w:sz w:val="22"/>
                    <w:szCs w:val="22"/>
                  </w:rPr>
                  <m:t>t</m:t>
                </m:r>
              </m:e>
            </m:func>
            <m:r>
              <w:rPr>
                <w:rFonts w:ascii="Cambria Math"/>
                <w:sz w:val="22"/>
                <w:szCs w:val="22"/>
              </w:rPr>
              <m:t>,D</m:t>
            </m:r>
          </m:sub>
        </m:sSub>
      </m:oMath>
      <w:r w:rsidR="00482E83">
        <w:tab/>
      </w:r>
      <w:r w:rsidR="00482E83">
        <w:tab/>
        <w:t xml:space="preserve">je regresní koeficient udávající amplitudu nelineární složky, hodnoty budou dodány zpracovatelem pro všechny třídy </w:t>
      </w:r>
      <w:r w:rsidR="00482E83">
        <w:rPr>
          <w:i/>
        </w:rPr>
        <w:t>t</w:t>
      </w:r>
      <w:r w:rsidR="00482E83">
        <w:t xml:space="preserve"> a pro daný typ obchodního dne </w:t>
      </w:r>
      <w:r w:rsidR="00482E83">
        <w:rPr>
          <w:i/>
        </w:rPr>
        <w:t>D</w:t>
      </w:r>
      <w:r w:rsidR="00482E83">
        <w:t>, tzn. zvlášť pro „pracovní dny“, „soboty“ a „neděle“ ve smyslu příslušné definice,</w:t>
      </w:r>
    </w:p>
    <w:p w:rsidR="00482E83" w:rsidRDefault="00E46DF3" w:rsidP="00430A13">
      <w:pPr>
        <w:pStyle w:val="Normln10"/>
        <w:ind w:left="1416" w:hanging="1416"/>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b</m:t>
            </m:r>
            <m:func>
              <m:funcPr>
                <m:ctrlPr>
                  <w:rPr>
                    <w:rFonts w:ascii="Cambria Math" w:hAnsi="Cambria Math"/>
                    <w:i/>
                    <w:sz w:val="22"/>
                    <w:szCs w:val="22"/>
                  </w:rPr>
                </m:ctrlPr>
              </m:funcPr>
              <m:fName>
                <m:r>
                  <w:rPr>
                    <w:rFonts w:ascii="Cambria Math"/>
                    <w:sz w:val="22"/>
                    <w:szCs w:val="22"/>
                  </w:rPr>
                  <m:t>_</m:t>
                </m:r>
              </m:fName>
              <m:e>
                <m:r>
                  <w:rPr>
                    <w:rFonts w:ascii="Cambria Math"/>
                    <w:sz w:val="22"/>
                    <w:szCs w:val="22"/>
                  </w:rPr>
                  <m:t>t</m:t>
                </m:r>
              </m:e>
            </m:func>
            <m:r>
              <w:rPr>
                <w:rFonts w:ascii="Cambria Math"/>
                <w:sz w:val="22"/>
                <w:szCs w:val="22"/>
              </w:rPr>
              <m:t>,D</m:t>
            </m:r>
          </m:sub>
        </m:sSub>
      </m:oMath>
      <w:r w:rsidR="00482E83">
        <w:tab/>
      </w:r>
      <w:r w:rsidR="00482E83">
        <w:tab/>
        <w:t xml:space="preserve">je regresní koeficient udávající rychlost nasycení nelineární složky, hodnoty budou dodány zpracovatelem pro všechny třídy </w:t>
      </w:r>
      <w:r w:rsidR="00482E83">
        <w:rPr>
          <w:i/>
        </w:rPr>
        <w:t>t</w:t>
      </w:r>
      <w:r w:rsidR="00482E83">
        <w:t xml:space="preserve"> a pro daný typ obchodního dne </w:t>
      </w:r>
      <w:r w:rsidR="00482E83">
        <w:rPr>
          <w:i/>
        </w:rPr>
        <w:t>D</w:t>
      </w:r>
      <w:r w:rsidR="00482E83">
        <w:t>, tzn. zvlášť pro „pracovní dny“, „soboty“ a „neděle“ ve smyslu příslušné definice,</w:t>
      </w:r>
    </w:p>
    <w:p w:rsidR="00482E83" w:rsidRDefault="00E46DF3" w:rsidP="00430A13">
      <w:pPr>
        <w:pStyle w:val="Normln10"/>
        <w:ind w:left="1416" w:hanging="1416"/>
      </w:pPr>
      <m:oMath>
        <m:sSub>
          <m:sSubPr>
            <m:ctrlPr>
              <w:rPr>
                <w:rFonts w:ascii="Cambria Math" w:hAnsi="Cambria Math"/>
                <w:i/>
                <w:sz w:val="22"/>
                <w:szCs w:val="22"/>
              </w:rPr>
            </m:ctrlPr>
          </m:sSubPr>
          <m:e>
            <m:r>
              <w:rPr>
                <w:rFonts w:ascii="Cambria Math"/>
                <w:sz w:val="22"/>
                <w:szCs w:val="22"/>
              </w:rPr>
              <m:t>k</m:t>
            </m:r>
          </m:e>
          <m:sub>
            <m:r>
              <w:rPr>
                <w:rFonts w:ascii="Cambria Math"/>
                <w:sz w:val="22"/>
                <w:szCs w:val="22"/>
              </w:rPr>
              <m:t>0</m:t>
            </m:r>
            <m:func>
              <m:funcPr>
                <m:ctrlPr>
                  <w:rPr>
                    <w:rFonts w:ascii="Cambria Math" w:hAnsi="Cambria Math"/>
                    <w:i/>
                    <w:sz w:val="22"/>
                    <w:szCs w:val="22"/>
                  </w:rPr>
                </m:ctrlPr>
              </m:funcPr>
              <m:fName>
                <m:r>
                  <w:rPr>
                    <w:rFonts w:ascii="Cambria Math"/>
                    <w:sz w:val="22"/>
                    <w:szCs w:val="22"/>
                  </w:rPr>
                  <m:t>_</m:t>
                </m:r>
              </m:fName>
              <m:e>
                <m:r>
                  <w:rPr>
                    <w:rFonts w:ascii="Cambria Math"/>
                    <w:sz w:val="22"/>
                    <w:szCs w:val="22"/>
                  </w:rPr>
                  <m:t>t</m:t>
                </m:r>
              </m:e>
            </m:func>
            <m:r>
              <w:rPr>
                <w:rFonts w:ascii="Cambria Math"/>
                <w:sz w:val="22"/>
                <w:szCs w:val="22"/>
              </w:rPr>
              <m:t>,D</m:t>
            </m:r>
          </m:sub>
        </m:sSub>
      </m:oMath>
      <w:r w:rsidR="00482E83">
        <w:tab/>
      </w:r>
      <w:r w:rsidR="00482E83">
        <w:tab/>
        <w:t xml:space="preserve">je regresní koeficient udávající teplotu v inflexním bodu nelineární funkční závislosti, hodnoty budou dodány zpracovatelem pro všechny třídy </w:t>
      </w:r>
      <w:r w:rsidR="00482E83">
        <w:rPr>
          <w:i/>
        </w:rPr>
        <w:t>t</w:t>
      </w:r>
      <w:r w:rsidR="00482E83">
        <w:t xml:space="preserve"> a pro daný typ obchodního dne </w:t>
      </w:r>
      <w:r w:rsidR="00482E83">
        <w:rPr>
          <w:i/>
        </w:rPr>
        <w:t>D</w:t>
      </w:r>
      <w:r w:rsidR="00482E83">
        <w:t>, tzn. zvlášť pro „pracovní dny“, „soboty“ a „neděle“ ve smyslu příslušné definice,</w:t>
      </w:r>
    </w:p>
    <w:p w:rsidR="00482E83" w:rsidRDefault="00E46DF3" w:rsidP="00430A13">
      <w:pPr>
        <w:pStyle w:val="Normln10"/>
        <w:ind w:left="1416" w:hanging="1416"/>
      </w:pPr>
      <m:oMath>
        <m:sSub>
          <m:sSubPr>
            <m:ctrlPr>
              <w:rPr>
                <w:rFonts w:ascii="Cambria Math" w:hAnsi="Cambria Math"/>
                <w:i/>
                <w:sz w:val="22"/>
                <w:szCs w:val="22"/>
              </w:rPr>
            </m:ctrlPr>
          </m:sSubPr>
          <m:e>
            <m:r>
              <w:rPr>
                <w:rFonts w:ascii="Cambria Math"/>
                <w:sz w:val="22"/>
                <w:szCs w:val="22"/>
              </w:rPr>
              <m:t>T</m:t>
            </m:r>
          </m:e>
          <m:sub>
            <m:r>
              <w:rPr>
                <w:rFonts w:ascii="Cambria Math"/>
                <w:sz w:val="22"/>
                <w:szCs w:val="22"/>
              </w:rPr>
              <m:t>vsk</m:t>
            </m:r>
            <m:func>
              <m:funcPr>
                <m:ctrlPr>
                  <w:rPr>
                    <w:rFonts w:ascii="Cambria Math" w:hAnsi="Cambria Math"/>
                    <w:i/>
                    <w:sz w:val="22"/>
                    <w:szCs w:val="22"/>
                  </w:rPr>
                </m:ctrlPr>
              </m:funcPr>
              <m:fName>
                <m:r>
                  <w:rPr>
                    <w:rFonts w:ascii="Cambria Math"/>
                    <w:sz w:val="22"/>
                    <w:szCs w:val="22"/>
                  </w:rPr>
                  <m:t>_</m:t>
                </m:r>
              </m:fName>
              <m:e>
                <m:r>
                  <w:rPr>
                    <w:rFonts w:ascii="Cambria Math"/>
                    <w:sz w:val="22"/>
                    <w:szCs w:val="22"/>
                  </w:rPr>
                  <m:t>D</m:t>
                </m:r>
              </m:e>
            </m:func>
          </m:sub>
        </m:sSub>
      </m:oMath>
      <w:r w:rsidR="00482E83">
        <w:tab/>
      </w:r>
      <w:r w:rsidR="00482E83">
        <w:tab/>
        <w:t xml:space="preserve">je denní průměrná hodnota skutečné teploty ve dni </w:t>
      </w:r>
      <w:r w:rsidR="00482E83">
        <w:rPr>
          <w:i/>
        </w:rPr>
        <w:t>D</w:t>
      </w:r>
      <w:r w:rsidR="00482E83">
        <w:t>, vyhlazená podle vztahu (2), skutečné nevyhlazené teploty pro každý den dodá ČHMÚ,</w:t>
      </w:r>
    </w:p>
    <w:p w:rsidR="00482E83" w:rsidRDefault="00E46DF3" w:rsidP="00430A13">
      <w:pPr>
        <w:pStyle w:val="Normln10"/>
        <w:ind w:left="1416" w:hanging="1416"/>
      </w:pPr>
      <m:oMath>
        <m:sSub>
          <m:sSubPr>
            <m:ctrlPr>
              <w:rPr>
                <w:rFonts w:ascii="Cambria Math" w:hAnsi="Cambria Math"/>
                <w:i/>
                <w:sz w:val="22"/>
                <w:szCs w:val="22"/>
              </w:rPr>
            </m:ctrlPr>
          </m:sSubPr>
          <m:e>
            <m:r>
              <w:rPr>
                <w:rFonts w:ascii="Cambria Math"/>
                <w:sz w:val="22"/>
                <w:szCs w:val="22"/>
              </w:rPr>
              <m:t>T</m:t>
            </m:r>
          </m:e>
          <m:sub>
            <m:r>
              <w:rPr>
                <w:rFonts w:ascii="Cambria Math"/>
                <w:sz w:val="22"/>
                <w:szCs w:val="22"/>
              </w:rPr>
              <m:t>vp</m:t>
            </m:r>
          </m:sub>
        </m:sSub>
      </m:oMath>
      <w:r w:rsidR="00482E83">
        <w:tab/>
      </w:r>
      <w:r w:rsidR="00482E83">
        <w:tab/>
        <w:t xml:space="preserve">je denní průměrná hodnota normálové teploty ve dni </w:t>
      </w:r>
      <w:r w:rsidR="00482E83">
        <w:rPr>
          <w:i/>
        </w:rPr>
        <w:t>D</w:t>
      </w:r>
      <w:r w:rsidR="00482E83">
        <w:t>, vyhlazená podle vztahu (2), skutečné nevyhlazené teploty dodá ČHMÚ, budou známy předem pro každý den v roce.</w:t>
      </w:r>
    </w:p>
    <w:p w:rsidR="00482E83" w:rsidRDefault="00482E83" w:rsidP="00E85225">
      <w:pPr>
        <w:pStyle w:val="Normln10"/>
        <w:spacing w:before="240"/>
      </w:pPr>
      <w:r>
        <w:t xml:space="preserve">Hledaný koeficient </w:t>
      </w:r>
      <w:r>
        <w:rPr>
          <w:i/>
        </w:rPr>
        <w:t>k</w:t>
      </w:r>
      <w:r>
        <w:t xml:space="preserve"> (platný pro den </w:t>
      </w:r>
      <w:r>
        <w:rPr>
          <w:i/>
        </w:rPr>
        <w:t>D</w:t>
      </w:r>
      <w:r>
        <w:t xml:space="preserve"> a třídu TDD </w:t>
      </w:r>
      <w:r>
        <w:rPr>
          <w:i/>
        </w:rPr>
        <w:t>t</w:t>
      </w:r>
      <w:r>
        <w:t>) v základní rovnici (10) pak lze spočítat jako poměr denních průměrů přepočteného a normálového TDD:</w:t>
      </w:r>
    </w:p>
    <w:p w:rsidR="00482E83" w:rsidRDefault="00430A13" w:rsidP="00430A13">
      <w:pPr>
        <w:pStyle w:val="Normln10"/>
        <w:tabs>
          <w:tab w:val="right" w:pos="9072"/>
        </w:tabs>
      </w:pPr>
      <m:oMath>
        <m:r>
          <w:rPr>
            <w:rFonts w:ascii="Cambria Math"/>
            <w:sz w:val="22"/>
            <w:szCs w:val="22"/>
          </w:rPr>
          <m:t>k=</m:t>
        </m:r>
        <m:f>
          <m:fPr>
            <m:ctrlPr>
              <w:rPr>
                <w:rFonts w:ascii="Cambria Math" w:hAnsi="Cambria Math"/>
                <w:i/>
                <w:sz w:val="22"/>
                <w:szCs w:val="22"/>
              </w:rPr>
            </m:ctrlPr>
          </m:fPr>
          <m:num>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pt</m:t>
                </m:r>
              </m:sub>
              <m:sup>
                <m:r>
                  <w:rPr>
                    <w:rFonts w:ascii="Cambria Math"/>
                    <w:sz w:val="22"/>
                    <w:szCs w:val="22"/>
                  </w:rPr>
                  <m:t>d</m:t>
                </m:r>
              </m:sup>
            </m:sSubSup>
          </m:num>
          <m:den>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nt</m:t>
                </m:r>
              </m:sub>
              <m:sup>
                <m:r>
                  <w:rPr>
                    <w:rFonts w:ascii="Cambria Math"/>
                    <w:sz w:val="22"/>
                    <w:szCs w:val="22"/>
                  </w:rPr>
                  <m:t>d</m:t>
                </m:r>
              </m:sup>
            </m:sSubSup>
          </m:den>
        </m:f>
      </m:oMath>
      <w:r w:rsidR="00A7306D">
        <w:tab/>
      </w:r>
      <w:r w:rsidR="00482E83">
        <w:t>(14)</w:t>
      </w:r>
    </w:p>
    <w:p w:rsidR="00482E83" w:rsidRDefault="00482E83" w:rsidP="00482E83">
      <w:pPr>
        <w:pStyle w:val="Normln10"/>
      </w:pPr>
      <w:r>
        <w:t xml:space="preserve">Dosadíme-li do rovnice (14) z rovnice (13) a rovnice (11), dostaneme jednoznačně definovaný výsledný vztah pro spočtení koeficientu k (platný pro den </w:t>
      </w:r>
      <w:r>
        <w:rPr>
          <w:i/>
        </w:rPr>
        <w:t>D</w:t>
      </w:r>
      <w:r>
        <w:t xml:space="preserve"> a třídu TDD </w:t>
      </w:r>
      <w:r>
        <w:rPr>
          <w:i/>
        </w:rPr>
        <w:t>t</w:t>
      </w:r>
      <w:r>
        <w:t>):</w:t>
      </w:r>
    </w:p>
    <w:p w:rsidR="00482E83" w:rsidRDefault="00430A13" w:rsidP="00430A13">
      <w:pPr>
        <w:pStyle w:val="Normln10"/>
        <w:tabs>
          <w:tab w:val="right" w:pos="9072"/>
        </w:tabs>
      </w:pPr>
      <m:oMath>
        <m:r>
          <w:rPr>
            <w:rFonts w:ascii="Cambria Math" w:hAnsi="Cambria Math"/>
            <w:sz w:val="22"/>
            <w:szCs w:val="22"/>
          </w:rPr>
          <m:t>k=</m:t>
        </m:r>
        <m:f>
          <m:fPr>
            <m:ctrlPr>
              <w:rPr>
                <w:rFonts w:ascii="Cambria Math" w:hAnsi="Cambria Math"/>
                <w:i/>
                <w:sz w:val="22"/>
                <w:szCs w:val="22"/>
              </w:rPr>
            </m:ctrlPr>
          </m:fPr>
          <m:num>
            <m:f>
              <m:fPr>
                <m:ctrlPr>
                  <w:rPr>
                    <w:rFonts w:ascii="Cambria Math" w:hAnsi="Cambria Math"/>
                    <w:i/>
                    <w:sz w:val="22"/>
                    <w:szCs w:val="22"/>
                  </w:rPr>
                </m:ctrlPr>
              </m:fPr>
              <m:num>
                <m:nary>
                  <m:naryPr>
                    <m:chr m:val="∑"/>
                    <m:ctrlPr>
                      <w:rPr>
                        <w:rFonts w:ascii="Cambria Math" w:hAnsi="Cambria Math"/>
                        <w:i/>
                        <w:sz w:val="22"/>
                        <w:szCs w:val="22"/>
                      </w:rPr>
                    </m:ctrlPr>
                  </m:naryPr>
                  <m:sub>
                    <m:r>
                      <w:rPr>
                        <w:rFonts w:ascii="Cambria Math" w:hAnsi="Cambria Math" w:cs="Cambria Math"/>
                        <w:sz w:val="22"/>
                        <w:szCs w:val="22"/>
                      </w:rPr>
                      <m:t>h</m:t>
                    </m:r>
                    <m:r>
                      <w:rPr>
                        <w:rFonts w:ascii="Cambria Math" w:hAnsi="Cambria Math"/>
                        <w:sz w:val="22"/>
                        <w:szCs w:val="22"/>
                      </w:rPr>
                      <m:t>=1</m:t>
                    </m:r>
                  </m:sub>
                  <m:sup>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D</m:t>
                        </m:r>
                      </m:sub>
                    </m:sSub>
                  </m:sup>
                  <m:e>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nt</m:t>
                        </m:r>
                      </m:sub>
                      <m:sup>
                        <m:r>
                          <w:rPr>
                            <w:rFonts w:ascii="Cambria Math" w:hAnsi="Cambria Math" w:cs="Cambria Math"/>
                            <w:sz w:val="22"/>
                            <w:szCs w:val="22"/>
                          </w:rPr>
                          <m:t>h</m:t>
                        </m:r>
                      </m:sup>
                    </m:sSubSup>
                  </m:e>
                </m:nary>
              </m:num>
              <m:den>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D</m:t>
                    </m:r>
                  </m:sub>
                </m:sSub>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n</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vsk</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D</m:t>
                                        </m:r>
                                      </m:e>
                                    </m:func>
                                  </m:sub>
                                </m:sSub>
                              </m:e>
                            </m:d>
                          </m:e>
                        </m:d>
                      </m:e>
                    </m:func>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func>
                      <m:funcPr>
                        <m:ctrlPr>
                          <w:rPr>
                            <w:rFonts w:ascii="Cambria Math" w:hAnsi="Cambria Math"/>
                            <w:i/>
                            <w:sz w:val="22"/>
                            <w:szCs w:val="22"/>
                          </w:rPr>
                        </m:ctrlPr>
                      </m:funcPr>
                      <m:fName>
                        <m:r>
                          <w:rPr>
                            <w:rFonts w:ascii="Cambria Math" w:hAnsi="Cambria Math"/>
                            <w:sz w:val="22"/>
                            <w:szCs w:val="22"/>
                          </w:rPr>
                          <m:t>exp</m:t>
                        </m:r>
                      </m:fName>
                      <m:e>
                        <m:d>
                          <m:dPr>
                            <m:ctrlPr>
                              <w:rPr>
                                <w:rFonts w:ascii="Cambria Math" w:hAnsi="Cambria Math"/>
                                <w:i/>
                                <w:sz w:val="22"/>
                                <w:szCs w:val="22"/>
                              </w:rPr>
                            </m:ctrlPr>
                          </m:d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b</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cs="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func>
                                      <m:funcPr>
                                        <m:ctrlPr>
                                          <w:rPr>
                                            <w:rFonts w:ascii="Cambria Math" w:hAnsi="Cambria Math"/>
                                            <w:i/>
                                            <w:sz w:val="22"/>
                                            <w:szCs w:val="22"/>
                                          </w:rPr>
                                        </m:ctrlPr>
                                      </m:funcPr>
                                      <m:fName>
                                        <m:r>
                                          <w:rPr>
                                            <w:rFonts w:ascii="Cambria Math" w:hAnsi="Cambria Math"/>
                                            <w:sz w:val="22"/>
                                            <w:szCs w:val="22"/>
                                          </w:rPr>
                                          <m:t>_</m:t>
                                        </m:r>
                                      </m:fName>
                                      <m:e>
                                        <m:r>
                                          <w:rPr>
                                            <w:rFonts w:ascii="Cambria Math" w:hAnsi="Cambria Math"/>
                                            <w:sz w:val="22"/>
                                            <w:szCs w:val="22"/>
                                          </w:rPr>
                                          <m:t>t</m:t>
                                        </m:r>
                                      </m:e>
                                    </m:func>
                                    <m:r>
                                      <w:rPr>
                                        <w:rFonts w:ascii="Cambria Math" w:hAnsi="Cambria Math"/>
                                        <w:sz w:val="22"/>
                                        <w:szCs w:val="22"/>
                                      </w:rPr>
                                      <m: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vp</m:t>
                                    </m:r>
                                  </m:sub>
                                </m:sSub>
                              </m:e>
                            </m:d>
                          </m:e>
                        </m:d>
                      </m:e>
                    </m:func>
                  </m:den>
                </m:f>
              </m:e>
            </m:d>
          </m:num>
          <m:den>
            <m:f>
              <m:fPr>
                <m:ctrlPr>
                  <w:rPr>
                    <w:rFonts w:ascii="Cambria Math" w:hAnsi="Cambria Math"/>
                    <w:i/>
                    <w:sz w:val="22"/>
                    <w:szCs w:val="22"/>
                  </w:rPr>
                </m:ctrlPr>
              </m:fPr>
              <m:num>
                <m:nary>
                  <m:naryPr>
                    <m:chr m:val="∑"/>
                    <m:ctrlPr>
                      <w:rPr>
                        <w:rFonts w:ascii="Cambria Math" w:hAnsi="Cambria Math"/>
                        <w:i/>
                        <w:sz w:val="22"/>
                        <w:szCs w:val="22"/>
                      </w:rPr>
                    </m:ctrlPr>
                  </m:naryPr>
                  <m:sub>
                    <m:r>
                      <w:rPr>
                        <w:rFonts w:ascii="Cambria Math" w:hAnsi="Cambria Math" w:cs="Cambria Math"/>
                        <w:sz w:val="22"/>
                        <w:szCs w:val="22"/>
                      </w:rPr>
                      <m:t>h</m:t>
                    </m:r>
                    <m:r>
                      <w:rPr>
                        <w:rFonts w:ascii="Cambria Math" w:hAnsi="Cambria Math"/>
                        <w:sz w:val="22"/>
                        <w:szCs w:val="22"/>
                      </w:rPr>
                      <m:t>=1</m:t>
                    </m:r>
                  </m:sub>
                  <m:sup>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D</m:t>
                        </m:r>
                      </m:sub>
                    </m:sSub>
                  </m:sup>
                  <m:e>
                    <m:r>
                      <w:rPr>
                        <w:rFonts w:ascii="Cambria Math" w:hAnsi="Cambria Math"/>
                        <w:sz w:val="22"/>
                        <w:szCs w:val="22"/>
                      </w:rPr>
                      <m:t>TD</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nt</m:t>
                        </m:r>
                      </m:sub>
                      <m:sup>
                        <m:r>
                          <w:rPr>
                            <w:rFonts w:ascii="Cambria Math" w:hAnsi="Cambria Math" w:cs="Cambria Math"/>
                            <w:sz w:val="22"/>
                            <w:szCs w:val="22"/>
                          </w:rPr>
                          <m:t>h</m:t>
                        </m:r>
                      </m:sup>
                    </m:sSubSup>
                  </m:e>
                </m:nary>
              </m:num>
              <m:den>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D</m:t>
                    </m:r>
                  </m:sub>
                </m:sSub>
              </m:den>
            </m:f>
          </m:den>
        </m:f>
      </m:oMath>
      <w:r w:rsidR="00482E83">
        <w:tab/>
        <w:t>(15)</w:t>
      </w:r>
    </w:p>
    <w:p w:rsidR="00830C94" w:rsidRPr="00830C94" w:rsidRDefault="00482E83" w:rsidP="00CA49F8">
      <w:pPr>
        <w:spacing w:before="120" w:after="120"/>
      </w:pPr>
      <w:r>
        <w:t xml:space="preserve">Po vyčíslení koeficientu </w:t>
      </w:r>
      <w:r>
        <w:rPr>
          <w:i/>
        </w:rPr>
        <w:t>k </w:t>
      </w:r>
      <w:r>
        <w:t xml:space="preserve">a dosazení do vztahu (10) už dostáváme požadovaný průběh </w:t>
      </w:r>
      <m:oMath>
        <m:r>
          <w:rPr>
            <w:rFonts w:ascii="Cambria Math"/>
            <w:sz w:val="22"/>
            <w:szCs w:val="22"/>
          </w:rPr>
          <m:t>TD</m:t>
        </m:r>
        <m:sSubSup>
          <m:sSubSupPr>
            <m:ctrlPr>
              <w:rPr>
                <w:rFonts w:ascii="Cambria Math" w:hAnsi="Cambria Math"/>
                <w:i/>
                <w:sz w:val="22"/>
                <w:szCs w:val="22"/>
              </w:rPr>
            </m:ctrlPr>
          </m:sSubSupPr>
          <m:e>
            <m:r>
              <w:rPr>
                <w:rFonts w:ascii="Cambria Math"/>
                <w:sz w:val="22"/>
                <w:szCs w:val="22"/>
              </w:rPr>
              <m:t>D</m:t>
            </m:r>
          </m:e>
          <m:sub>
            <m:r>
              <w:rPr>
                <w:rFonts w:ascii="Cambria Math"/>
                <w:sz w:val="22"/>
                <w:szCs w:val="22"/>
              </w:rPr>
              <m:t>pt</m:t>
            </m:r>
          </m:sub>
          <m:sup>
            <m:r>
              <w:rPr>
                <w:rFonts w:ascii="Cambria Math" w:hAnsi="Cambria Math" w:cs="Cambria Math"/>
                <w:sz w:val="22"/>
                <w:szCs w:val="22"/>
              </w:rPr>
              <m:t>h</m:t>
            </m:r>
          </m:sup>
        </m:sSubSup>
      </m:oMath>
      <w:r w:rsidRPr="00830C94">
        <w:rPr>
          <w:sz w:val="22"/>
          <w:szCs w:val="22"/>
        </w:rPr>
        <w:t>.</w:t>
      </w:r>
      <w:r>
        <w:t xml:space="preserve"> Dále je uveden </w:t>
      </w:r>
      <w:r w:rsidR="00830C94">
        <w:t xml:space="preserve">obrázek </w:t>
      </w:r>
      <w:r w:rsidR="00830C94">
        <w:fldChar w:fldCharType="begin"/>
      </w:r>
      <w:r w:rsidR="00830C94">
        <w:instrText xml:space="preserve"> REF ObrPřeOdbNaSkuTepVeDniD \h </w:instrText>
      </w:r>
      <w:r w:rsidR="00830C94">
        <w:fldChar w:fldCharType="separate"/>
      </w:r>
      <w:r w:rsidR="00830C94">
        <w:rPr>
          <w:noProof/>
        </w:rPr>
        <w:t>2</w:t>
      </w:r>
      <w:r w:rsidR="00830C94">
        <w:t>.</w:t>
      </w:r>
      <w:r w:rsidR="00830C94">
        <w:rPr>
          <w:noProof/>
        </w:rPr>
        <w:t>1</w:t>
      </w:r>
      <w:r w:rsidR="00830C94">
        <w:fldChar w:fldCharType="end"/>
      </w:r>
      <w:r w:rsidRPr="00390A87">
        <w:fldChar w:fldCharType="begin"/>
      </w:r>
      <w:r w:rsidRPr="00390A87">
        <w:instrText xml:space="preserve"> REF  _Ref364938193 \* Lower \h  \* MERGEFORMAT </w:instrText>
      </w:r>
      <w:r w:rsidRPr="00390A87">
        <w:fldChar w:fldCharType="end"/>
      </w:r>
      <w:r>
        <w:t xml:space="preserve">, který v souladu s Obchodními podmínkami OTE popisuje práci s TDD v obchodním dni </w:t>
      </w:r>
      <w:r>
        <w:rPr>
          <w:i/>
        </w:rPr>
        <w:t>D</w:t>
      </w:r>
      <w:r>
        <w:t>.</w:t>
      </w:r>
      <w:bookmarkStart w:id="3" w:name="_Ref364938193"/>
    </w:p>
    <w:bookmarkEnd w:id="3"/>
    <w:p w:rsidR="00482E83" w:rsidRDefault="00830C94" w:rsidP="00830C94">
      <w:pPr>
        <w:pStyle w:val="Titulek"/>
      </w:pPr>
      <w:r>
        <w:t xml:space="preserve">Obrázek </w:t>
      </w:r>
      <w:bookmarkStart w:id="4" w:name="ObrPřeOdbNaSkuTepVeDniD"/>
      <w:r>
        <w:fldChar w:fldCharType="begin"/>
      </w:r>
      <w:r>
        <w:instrText xml:space="preserve"> STYLEREF 1 \s </w:instrText>
      </w:r>
      <w:r>
        <w:fldChar w:fldCharType="separate"/>
      </w:r>
      <w:r>
        <w:rPr>
          <w:noProof/>
        </w:rPr>
        <w:t>2</w:t>
      </w:r>
      <w:r>
        <w:fldChar w:fldCharType="end"/>
      </w:r>
      <w:r>
        <w:t>.</w:t>
      </w:r>
      <w:r w:rsidR="00BD753E">
        <w:rPr>
          <w:noProof/>
        </w:rPr>
        <w:fldChar w:fldCharType="begin"/>
      </w:r>
      <w:r w:rsidR="00BD753E">
        <w:rPr>
          <w:noProof/>
        </w:rPr>
        <w:instrText xml:space="preserve"> SEQ Obrázek \* ARABIC \s 1 </w:instrText>
      </w:r>
      <w:r w:rsidR="00BD753E">
        <w:rPr>
          <w:noProof/>
        </w:rPr>
        <w:fldChar w:fldCharType="separate"/>
      </w:r>
      <w:r>
        <w:rPr>
          <w:noProof/>
        </w:rPr>
        <w:t>1</w:t>
      </w:r>
      <w:r w:rsidR="00BD753E">
        <w:rPr>
          <w:noProof/>
        </w:rPr>
        <w:fldChar w:fldCharType="end"/>
      </w:r>
      <w:bookmarkEnd w:id="4"/>
      <w:r>
        <w:tab/>
      </w:r>
      <w:r w:rsidR="00482E83">
        <w:t>Přepočet odběru na skutečnou teplotu ve dni D</w:t>
      </w:r>
    </w:p>
    <w:p w:rsidR="00256557" w:rsidRDefault="00256557" w:rsidP="00256557">
      <w:r w:rsidRPr="00256557">
        <w:rPr>
          <w:noProof/>
        </w:rPr>
        <w:drawing>
          <wp:inline distT="0" distB="0" distL="0" distR="0">
            <wp:extent cx="4391025" cy="2095500"/>
            <wp:effectExtent l="0" t="0" r="9525"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2095500"/>
                    </a:xfrm>
                    <a:prstGeom prst="rect">
                      <a:avLst/>
                    </a:prstGeom>
                    <a:noFill/>
                    <a:ln>
                      <a:noFill/>
                    </a:ln>
                  </pic:spPr>
                </pic:pic>
              </a:graphicData>
            </a:graphic>
          </wp:inline>
        </w:drawing>
      </w:r>
    </w:p>
    <w:p w:rsidR="00482E83" w:rsidRDefault="00482E83" w:rsidP="00256557">
      <w:pPr>
        <w:pStyle w:val="Normln10"/>
        <w:spacing w:before="240"/>
      </w:pPr>
      <w:r>
        <w:t>V samotném závěru jsou uvedeny tabulky</w:t>
      </w:r>
      <w:r w:rsidR="00830C94">
        <w:t xml:space="preserve"> </w:t>
      </w:r>
      <w:r w:rsidR="00830C94">
        <w:fldChar w:fldCharType="begin"/>
      </w:r>
      <w:r w:rsidR="00830C94">
        <w:instrText xml:space="preserve"> REF TabRegKoeProPřeCelTDDNaTep \h </w:instrText>
      </w:r>
      <w:r w:rsidR="00830C94">
        <w:fldChar w:fldCharType="separate"/>
      </w:r>
      <w:r w:rsidR="00830C94">
        <w:rPr>
          <w:noProof/>
        </w:rPr>
        <w:t>2</w:t>
      </w:r>
      <w:r w:rsidR="00830C94">
        <w:t>.</w:t>
      </w:r>
      <w:r w:rsidR="00830C94">
        <w:rPr>
          <w:noProof/>
        </w:rPr>
        <w:t>1</w:t>
      </w:r>
      <w:r w:rsidR="00830C94">
        <w:fldChar w:fldCharType="end"/>
      </w:r>
      <w:r w:rsidR="00830C94">
        <w:t xml:space="preserve"> a </w:t>
      </w:r>
      <w:r w:rsidR="00830C94">
        <w:rPr>
          <w:noProof/>
        </w:rPr>
        <w:fldChar w:fldCharType="begin"/>
      </w:r>
      <w:r w:rsidR="00830C94">
        <w:instrText xml:space="preserve"> REF TabRegKoeProPřeRegTDDNaTep \h </w:instrText>
      </w:r>
      <w:r w:rsidR="00830C94">
        <w:rPr>
          <w:noProof/>
        </w:rPr>
      </w:r>
      <w:r w:rsidR="00830C94">
        <w:rPr>
          <w:noProof/>
        </w:rPr>
        <w:fldChar w:fldCharType="separate"/>
      </w:r>
      <w:r w:rsidR="00830C94">
        <w:rPr>
          <w:noProof/>
        </w:rPr>
        <w:t>2</w:t>
      </w:r>
      <w:r w:rsidR="00830C94">
        <w:t>.</w:t>
      </w:r>
      <w:r w:rsidR="00830C94">
        <w:rPr>
          <w:noProof/>
        </w:rPr>
        <w:t>2</w:t>
      </w:r>
      <w:r w:rsidR="00830C94">
        <w:rPr>
          <w:noProof/>
        </w:rPr>
        <w:fldChar w:fldCharType="end"/>
      </w:r>
      <w:r>
        <w:t>, které obsahují regresní koeficienty, potřebné pro</w:t>
      </w:r>
      <w:r w:rsidR="00E85225">
        <w:t> </w:t>
      </w:r>
      <w:r>
        <w:t>teplotní přepočty TDD v praxi v </w:t>
      </w:r>
      <w:r w:rsidRPr="00C16925">
        <w:t>roce 20</w:t>
      </w:r>
      <w:r w:rsidR="003B67D2">
        <w:t>20</w:t>
      </w:r>
      <w:r w:rsidRPr="00C16925">
        <w:t>. Pro</w:t>
      </w:r>
      <w:r>
        <w:t xml:space="preserve"> celostátní TDD platí </w:t>
      </w:r>
      <w:r w:rsidR="00830C94">
        <w:t xml:space="preserve">tabulka </w:t>
      </w:r>
      <w:r w:rsidR="00830C94">
        <w:fldChar w:fldCharType="begin"/>
      </w:r>
      <w:r w:rsidR="00830C94">
        <w:instrText xml:space="preserve"> REF TabRegKoeProPřeCelTDDNaTep \h </w:instrText>
      </w:r>
      <w:r w:rsidR="00830C94">
        <w:fldChar w:fldCharType="separate"/>
      </w:r>
      <w:r w:rsidR="00830C94">
        <w:rPr>
          <w:noProof/>
        </w:rPr>
        <w:t>2</w:t>
      </w:r>
      <w:r w:rsidR="00830C94">
        <w:t>.</w:t>
      </w:r>
      <w:r w:rsidR="00830C94">
        <w:rPr>
          <w:noProof/>
        </w:rPr>
        <w:t>1</w:t>
      </w:r>
      <w:r w:rsidR="00830C94">
        <w:fldChar w:fldCharType="end"/>
      </w:r>
      <w:r w:rsidR="00830C94">
        <w:t xml:space="preserve"> </w:t>
      </w:r>
      <w:r>
        <w:t>a pro regionální TDD5 platí</w:t>
      </w:r>
      <w:r w:rsidR="00830C94">
        <w:t xml:space="preserve"> tabulka </w:t>
      </w:r>
      <w:r w:rsidR="00830C94">
        <w:rPr>
          <w:noProof/>
        </w:rPr>
        <w:fldChar w:fldCharType="begin"/>
      </w:r>
      <w:r w:rsidR="00830C94">
        <w:instrText xml:space="preserve"> REF TabRegKoeProPřeRegTDDNaTep \h </w:instrText>
      </w:r>
      <w:r w:rsidR="00830C94">
        <w:rPr>
          <w:noProof/>
        </w:rPr>
      </w:r>
      <w:r w:rsidR="00830C94">
        <w:rPr>
          <w:noProof/>
        </w:rPr>
        <w:fldChar w:fldCharType="separate"/>
      </w:r>
      <w:r w:rsidR="00830C94">
        <w:rPr>
          <w:noProof/>
        </w:rPr>
        <w:t>2</w:t>
      </w:r>
      <w:r w:rsidR="00830C94">
        <w:t>.</w:t>
      </w:r>
      <w:r w:rsidR="00830C94">
        <w:rPr>
          <w:noProof/>
        </w:rPr>
        <w:t>2</w:t>
      </w:r>
      <w:r w:rsidR="00830C94">
        <w:rPr>
          <w:noProof/>
        </w:rPr>
        <w:fldChar w:fldCharType="end"/>
      </w:r>
      <w:r>
        <w:t>.</w:t>
      </w:r>
    </w:p>
    <w:p w:rsidR="00DD19D4" w:rsidRDefault="00DD19D4" w:rsidP="00256557">
      <w:pPr>
        <w:pStyle w:val="Normln10"/>
        <w:spacing w:before="240"/>
      </w:pPr>
    </w:p>
    <w:p w:rsidR="00DD19D4" w:rsidRDefault="00DD19D4" w:rsidP="00256557">
      <w:pPr>
        <w:pStyle w:val="Normln10"/>
        <w:spacing w:before="240"/>
      </w:pPr>
    </w:p>
    <w:p w:rsidR="00482E83" w:rsidRDefault="00830C94" w:rsidP="00830C94">
      <w:pPr>
        <w:pStyle w:val="Titulek"/>
      </w:pPr>
      <w:r>
        <w:lastRenderedPageBreak/>
        <w:t xml:space="preserve">Tabulka </w:t>
      </w:r>
      <w:bookmarkStart w:id="5" w:name="TabRegKoeProPřeCelTDDNaTep"/>
      <w:r>
        <w:fldChar w:fldCharType="begin"/>
      </w:r>
      <w:r>
        <w:instrText xml:space="preserve"> STYLEREF 1 \s </w:instrText>
      </w:r>
      <w:r>
        <w:fldChar w:fldCharType="separate"/>
      </w:r>
      <w:r>
        <w:rPr>
          <w:noProof/>
        </w:rPr>
        <w:t>2</w:t>
      </w:r>
      <w:r>
        <w:fldChar w:fldCharType="end"/>
      </w:r>
      <w:r>
        <w:t>.</w:t>
      </w:r>
      <w:r w:rsidR="00BD753E">
        <w:rPr>
          <w:noProof/>
        </w:rPr>
        <w:fldChar w:fldCharType="begin"/>
      </w:r>
      <w:r w:rsidR="00BD753E">
        <w:rPr>
          <w:noProof/>
        </w:rPr>
        <w:instrText xml:space="preserve"> SEQ Tabulka \* ARABIC \s 1 </w:instrText>
      </w:r>
      <w:r w:rsidR="00BD753E">
        <w:rPr>
          <w:noProof/>
        </w:rPr>
        <w:fldChar w:fldCharType="separate"/>
      </w:r>
      <w:r>
        <w:rPr>
          <w:noProof/>
        </w:rPr>
        <w:t>1</w:t>
      </w:r>
      <w:r w:rsidR="00BD753E">
        <w:rPr>
          <w:noProof/>
        </w:rPr>
        <w:fldChar w:fldCharType="end"/>
      </w:r>
      <w:bookmarkEnd w:id="5"/>
      <w:r>
        <w:tab/>
      </w:r>
      <w:r w:rsidR="00482E83" w:rsidRPr="00C16925">
        <w:t>Regresní</w:t>
      </w:r>
      <w:r w:rsidR="00482E83">
        <w:t xml:space="preserve"> koeficienty pro přepočty celostátních TDD na teploty</w:t>
      </w:r>
    </w:p>
    <w:p w:rsidR="00482E83" w:rsidRDefault="00EB1DDC" w:rsidP="00482E83">
      <w:r w:rsidRPr="00EB1DDC">
        <w:rPr>
          <w:noProof/>
        </w:rPr>
        <w:drawing>
          <wp:inline distT="0" distB="0" distL="0" distR="0">
            <wp:extent cx="5796280" cy="1783080"/>
            <wp:effectExtent l="0" t="0" r="0" b="762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6280" cy="1783080"/>
                    </a:xfrm>
                    <a:prstGeom prst="rect">
                      <a:avLst/>
                    </a:prstGeom>
                    <a:noFill/>
                    <a:ln>
                      <a:noFill/>
                    </a:ln>
                  </pic:spPr>
                </pic:pic>
              </a:graphicData>
            </a:graphic>
          </wp:inline>
        </w:drawing>
      </w:r>
    </w:p>
    <w:p w:rsidR="00482E83" w:rsidRDefault="00830C94" w:rsidP="00830C94">
      <w:pPr>
        <w:pStyle w:val="Titulek"/>
      </w:pPr>
      <w:r>
        <w:t xml:space="preserve">Tabulka </w:t>
      </w:r>
      <w:bookmarkStart w:id="6" w:name="TabRegKoeProPřeRegTDDNaTep"/>
      <w:r>
        <w:fldChar w:fldCharType="begin"/>
      </w:r>
      <w:r>
        <w:instrText xml:space="preserve"> STYLEREF 1 \s </w:instrText>
      </w:r>
      <w:r>
        <w:fldChar w:fldCharType="separate"/>
      </w:r>
      <w:r>
        <w:rPr>
          <w:noProof/>
        </w:rPr>
        <w:t>2</w:t>
      </w:r>
      <w:r>
        <w:fldChar w:fldCharType="end"/>
      </w:r>
      <w:r>
        <w:t>.</w:t>
      </w:r>
      <w:r w:rsidR="00BD753E">
        <w:rPr>
          <w:noProof/>
        </w:rPr>
        <w:fldChar w:fldCharType="begin"/>
      </w:r>
      <w:r w:rsidR="00BD753E">
        <w:rPr>
          <w:noProof/>
        </w:rPr>
        <w:instrText xml:space="preserve"> SEQ Tabulka \* ARABIC \s 1 </w:instrText>
      </w:r>
      <w:r w:rsidR="00BD753E">
        <w:rPr>
          <w:noProof/>
        </w:rPr>
        <w:fldChar w:fldCharType="separate"/>
      </w:r>
      <w:r>
        <w:rPr>
          <w:noProof/>
        </w:rPr>
        <w:t>2</w:t>
      </w:r>
      <w:r w:rsidR="00BD753E">
        <w:rPr>
          <w:noProof/>
        </w:rPr>
        <w:fldChar w:fldCharType="end"/>
      </w:r>
      <w:bookmarkEnd w:id="6"/>
      <w:r>
        <w:tab/>
      </w:r>
      <w:r w:rsidR="00482E83" w:rsidRPr="00C16925">
        <w:t>Regresní</w:t>
      </w:r>
      <w:r w:rsidR="00482E83">
        <w:t xml:space="preserve"> koeficienty pro přepočty regionálních TDD5 na teploty</w:t>
      </w:r>
    </w:p>
    <w:p w:rsidR="00482E83" w:rsidRDefault="00EB1DDC" w:rsidP="00482E83">
      <w:r w:rsidRPr="00EB1DDC">
        <w:rPr>
          <w:noProof/>
        </w:rPr>
        <w:drawing>
          <wp:inline distT="0" distB="0" distL="0" distR="0">
            <wp:extent cx="5796280" cy="177927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6280" cy="1779270"/>
                    </a:xfrm>
                    <a:prstGeom prst="rect">
                      <a:avLst/>
                    </a:prstGeom>
                    <a:noFill/>
                    <a:ln>
                      <a:noFill/>
                    </a:ln>
                  </pic:spPr>
                </pic:pic>
              </a:graphicData>
            </a:graphic>
          </wp:inline>
        </w:drawing>
      </w:r>
    </w:p>
    <w:sectPr w:rsidR="00482E83" w:rsidSect="00317645">
      <w:headerReference w:type="even" r:id="rId11"/>
      <w:headerReference w:type="default" r:id="rId12"/>
      <w:pgSz w:w="11906" w:h="16838" w:code="9"/>
      <w:pgMar w:top="1985" w:right="1247" w:bottom="1701" w:left="1247" w:header="0" w:footer="567" w:gutter="284"/>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53E" w:rsidRDefault="00BD753E">
      <w:r>
        <w:separator/>
      </w:r>
    </w:p>
  </w:endnote>
  <w:endnote w:type="continuationSeparator" w:id="0">
    <w:p w:rsidR="00BD753E" w:rsidRDefault="00BD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53E" w:rsidRDefault="00BD753E">
      <w:r>
        <w:separator/>
      </w:r>
    </w:p>
  </w:footnote>
  <w:footnote w:type="continuationSeparator" w:id="0">
    <w:p w:rsidR="00BD753E" w:rsidRDefault="00BD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0376"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7"/>
      <w:gridCol w:w="9129"/>
    </w:tblGrid>
    <w:tr w:rsidR="00BD753E" w:rsidRPr="00795252" w:rsidTr="00543B64">
      <w:trPr>
        <w:cantSplit/>
        <w:trHeight w:hRule="exact" w:val="567"/>
      </w:trPr>
      <w:tc>
        <w:tcPr>
          <w:tcW w:w="1247" w:type="dxa"/>
          <w:tcMar>
            <w:right w:w="113" w:type="dxa"/>
          </w:tcMar>
          <w:vAlign w:val="bottom"/>
        </w:tcPr>
        <w:p w:rsidR="00BD753E" w:rsidRPr="00795252" w:rsidRDefault="00BD753E" w:rsidP="00697B81">
          <w:pPr>
            <w:suppressAutoHyphens w:val="0"/>
            <w:autoSpaceDE w:val="0"/>
            <w:autoSpaceDN w:val="0"/>
            <w:adjustRightInd w:val="0"/>
            <w:spacing w:before="40" w:after="0" w:line="240" w:lineRule="auto"/>
            <w:rPr>
              <w:rStyle w:val="slostrnky"/>
              <w:color w:val="A6A6A6" w:themeColor="background1" w:themeShade="A6"/>
              <w:sz w:val="16"/>
              <w:szCs w:val="16"/>
            </w:rPr>
          </w:pPr>
        </w:p>
      </w:tc>
      <w:tc>
        <w:tcPr>
          <w:tcW w:w="9129" w:type="dxa"/>
          <w:vMerge w:val="restart"/>
          <w:shd w:val="clear" w:color="auto" w:fill="FFFFFF" w:themeFill="background1"/>
          <w:tcMar>
            <w:top w:w="170" w:type="dxa"/>
            <w:left w:w="113" w:type="dxa"/>
          </w:tcMar>
          <w:vAlign w:val="center"/>
        </w:tcPr>
        <w:p w:rsidR="00BD753E" w:rsidRPr="00795252" w:rsidRDefault="00BD753E" w:rsidP="008A4ACA">
          <w:pPr>
            <w:suppressAutoHyphens w:val="0"/>
            <w:autoSpaceDE w:val="0"/>
            <w:autoSpaceDN w:val="0"/>
            <w:adjustRightInd w:val="0"/>
            <w:spacing w:before="40" w:after="0" w:line="240" w:lineRule="auto"/>
            <w:rPr>
              <w:color w:val="A6A6A6" w:themeColor="background1" w:themeShade="A6"/>
              <w:sz w:val="40"/>
              <w:szCs w:val="40"/>
            </w:rPr>
          </w:pPr>
          <w:r>
            <w:rPr>
              <w:color w:val="A6A6A6" w:themeColor="background1" w:themeShade="A6"/>
              <w:sz w:val="14"/>
              <w:szCs w:val="14"/>
            </w:rPr>
            <w:fldChar w:fldCharType="begin"/>
          </w:r>
          <w:r>
            <w:rPr>
              <w:color w:val="A6A6A6" w:themeColor="background1" w:themeShade="A6"/>
              <w:sz w:val="14"/>
              <w:szCs w:val="14"/>
            </w:rPr>
            <w:instrText xml:space="preserve"> TITLE  </w:instrText>
          </w:r>
          <w:r>
            <w:rPr>
              <w:color w:val="A6A6A6" w:themeColor="background1" w:themeShade="A6"/>
              <w:sz w:val="14"/>
              <w:szCs w:val="14"/>
            </w:rPr>
            <w:fldChar w:fldCharType="separate"/>
          </w:r>
          <w:r>
            <w:rPr>
              <w:color w:val="A6A6A6" w:themeColor="background1" w:themeShade="A6"/>
              <w:sz w:val="14"/>
              <w:szCs w:val="14"/>
            </w:rPr>
            <w:t>Metodika přepočtu TDD na skutečné teploty</w:t>
          </w:r>
          <w:r>
            <w:rPr>
              <w:color w:val="A6A6A6" w:themeColor="background1" w:themeShade="A6"/>
              <w:sz w:val="14"/>
              <w:szCs w:val="14"/>
            </w:rPr>
            <w:fldChar w:fldCharType="end"/>
          </w:r>
        </w:p>
      </w:tc>
    </w:tr>
    <w:tr w:rsidR="00BD753E" w:rsidRPr="00795252" w:rsidTr="000031FF">
      <w:trPr>
        <w:cantSplit/>
        <w:trHeight w:hRule="exact" w:val="567"/>
      </w:trPr>
      <w:tc>
        <w:tcPr>
          <w:tcW w:w="1247" w:type="dxa"/>
          <w:tcBorders>
            <w:right w:val="single" w:sz="4" w:space="0" w:color="808080" w:themeColor="background1" w:themeShade="80"/>
          </w:tcBorders>
          <w:tcMar>
            <w:right w:w="113" w:type="dxa"/>
          </w:tcMar>
          <w:vAlign w:val="bottom"/>
        </w:tcPr>
        <w:p w:rsidR="00BD753E" w:rsidRPr="00795252" w:rsidRDefault="00BD753E" w:rsidP="00697B81">
          <w:pPr>
            <w:suppressAutoHyphens w:val="0"/>
            <w:autoSpaceDE w:val="0"/>
            <w:autoSpaceDN w:val="0"/>
            <w:adjustRightInd w:val="0"/>
            <w:spacing w:before="40" w:after="0" w:line="240" w:lineRule="auto"/>
            <w:ind w:left="1869" w:hanging="1869"/>
            <w:jc w:val="right"/>
            <w:rPr>
              <w:rStyle w:val="slostrnky"/>
              <w:color w:val="A6A6A6" w:themeColor="background1" w:themeShade="A6"/>
              <w:sz w:val="40"/>
              <w:szCs w:val="40"/>
            </w:rPr>
          </w:pPr>
          <w:r w:rsidRPr="00795252">
            <w:rPr>
              <w:rStyle w:val="slostrnky"/>
              <w:color w:val="A6A6A6" w:themeColor="background1" w:themeShade="A6"/>
              <w:sz w:val="40"/>
              <w:szCs w:val="40"/>
            </w:rPr>
            <w:fldChar w:fldCharType="begin"/>
          </w:r>
          <w:r w:rsidRPr="00795252">
            <w:rPr>
              <w:rStyle w:val="slostrnky"/>
              <w:color w:val="A6A6A6" w:themeColor="background1" w:themeShade="A6"/>
              <w:sz w:val="40"/>
              <w:szCs w:val="40"/>
            </w:rPr>
            <w:instrText xml:space="preserve">PAGE  </w:instrText>
          </w:r>
          <w:r w:rsidRPr="00795252">
            <w:rPr>
              <w:rStyle w:val="slostrnky"/>
              <w:color w:val="A6A6A6" w:themeColor="background1" w:themeShade="A6"/>
              <w:sz w:val="40"/>
              <w:szCs w:val="40"/>
            </w:rPr>
            <w:fldChar w:fldCharType="separate"/>
          </w:r>
          <w:r>
            <w:rPr>
              <w:rStyle w:val="slostrnky"/>
              <w:noProof/>
              <w:color w:val="A6A6A6" w:themeColor="background1" w:themeShade="A6"/>
              <w:sz w:val="40"/>
              <w:szCs w:val="40"/>
            </w:rPr>
            <w:t>6</w:t>
          </w:r>
          <w:r w:rsidRPr="00795252">
            <w:rPr>
              <w:rStyle w:val="slostrnky"/>
              <w:color w:val="A6A6A6" w:themeColor="background1" w:themeShade="A6"/>
              <w:sz w:val="40"/>
              <w:szCs w:val="40"/>
            </w:rPr>
            <w:fldChar w:fldCharType="end"/>
          </w:r>
        </w:p>
      </w:tc>
      <w:tc>
        <w:tcPr>
          <w:tcW w:w="15236" w:type="dxa"/>
          <w:vMerge/>
          <w:tcBorders>
            <w:left w:val="single" w:sz="4" w:space="0" w:color="808080" w:themeColor="background1" w:themeShade="80"/>
          </w:tcBorders>
          <w:shd w:val="clear" w:color="auto" w:fill="FFFFFF" w:themeFill="background1"/>
          <w:vAlign w:val="bottom"/>
        </w:tcPr>
        <w:p w:rsidR="00BD753E" w:rsidRPr="00795252" w:rsidRDefault="00BD753E" w:rsidP="00237AE9">
          <w:pPr>
            <w:suppressAutoHyphens w:val="0"/>
            <w:autoSpaceDE w:val="0"/>
            <w:autoSpaceDN w:val="0"/>
            <w:adjustRightInd w:val="0"/>
            <w:spacing w:before="40" w:after="0" w:line="240" w:lineRule="auto"/>
            <w:rPr>
              <w:color w:val="A6A6A6" w:themeColor="background1" w:themeShade="A6"/>
              <w:sz w:val="14"/>
              <w:szCs w:val="14"/>
            </w:rPr>
          </w:pPr>
        </w:p>
      </w:tc>
    </w:tr>
  </w:tbl>
  <w:p w:rsidR="00BD753E" w:rsidRPr="00795252" w:rsidRDefault="00BD753E" w:rsidP="005467C5">
    <w:pPr>
      <w:pStyle w:val="Zhlav"/>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03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3"/>
      <w:gridCol w:w="1246"/>
      <w:gridCol w:w="7"/>
    </w:tblGrid>
    <w:tr w:rsidR="00BD753E" w:rsidRPr="00795252" w:rsidTr="00543B64">
      <w:trPr>
        <w:cantSplit/>
        <w:trHeight w:hRule="exact" w:val="567"/>
      </w:trPr>
      <w:tc>
        <w:tcPr>
          <w:tcW w:w="9129" w:type="dxa"/>
          <w:vMerge w:val="restart"/>
          <w:tcMar>
            <w:top w:w="170" w:type="dxa"/>
            <w:right w:w="113" w:type="dxa"/>
          </w:tcMar>
          <w:vAlign w:val="center"/>
        </w:tcPr>
        <w:p w:rsidR="00BD753E" w:rsidRPr="00795252" w:rsidRDefault="00BD753E" w:rsidP="005467C5">
          <w:pPr>
            <w:suppressAutoHyphens w:val="0"/>
            <w:autoSpaceDE w:val="0"/>
            <w:autoSpaceDN w:val="0"/>
            <w:adjustRightInd w:val="0"/>
            <w:spacing w:before="40" w:after="0" w:line="240" w:lineRule="auto"/>
            <w:jc w:val="right"/>
            <w:rPr>
              <w:rStyle w:val="slostrnky"/>
              <w:rFonts w:cs="Arial"/>
              <w:color w:val="A6A6A6" w:themeColor="background1" w:themeShade="A6"/>
              <w:sz w:val="14"/>
              <w:szCs w:val="14"/>
            </w:rPr>
          </w:pPr>
          <w:r>
            <w:rPr>
              <w:color w:val="A6A6A6" w:themeColor="background1" w:themeShade="A6"/>
              <w:sz w:val="14"/>
              <w:szCs w:val="14"/>
            </w:rPr>
            <w:fldChar w:fldCharType="begin"/>
          </w:r>
          <w:r>
            <w:rPr>
              <w:color w:val="A6A6A6" w:themeColor="background1" w:themeShade="A6"/>
              <w:sz w:val="14"/>
              <w:szCs w:val="14"/>
            </w:rPr>
            <w:instrText xml:space="preserve"> TITLE  </w:instrText>
          </w:r>
          <w:r>
            <w:rPr>
              <w:color w:val="A6A6A6" w:themeColor="background1" w:themeShade="A6"/>
              <w:sz w:val="14"/>
              <w:szCs w:val="14"/>
            </w:rPr>
            <w:fldChar w:fldCharType="separate"/>
          </w:r>
          <w:r>
            <w:rPr>
              <w:color w:val="A6A6A6" w:themeColor="background1" w:themeShade="A6"/>
              <w:sz w:val="14"/>
              <w:szCs w:val="14"/>
            </w:rPr>
            <w:t>Metodika přepočtu TDD na skutečné teploty</w:t>
          </w:r>
          <w:r>
            <w:rPr>
              <w:color w:val="A6A6A6" w:themeColor="background1" w:themeShade="A6"/>
              <w:sz w:val="14"/>
              <w:szCs w:val="14"/>
            </w:rPr>
            <w:fldChar w:fldCharType="end"/>
          </w:r>
        </w:p>
      </w:tc>
      <w:tc>
        <w:tcPr>
          <w:tcW w:w="1247" w:type="dxa"/>
          <w:gridSpan w:val="2"/>
          <w:shd w:val="clear" w:color="auto" w:fill="FFFFFF" w:themeFill="background1"/>
          <w:vAlign w:val="bottom"/>
        </w:tcPr>
        <w:p w:rsidR="00BD753E" w:rsidRPr="00795252" w:rsidRDefault="00BD753E" w:rsidP="005467C5">
          <w:pPr>
            <w:suppressAutoHyphens w:val="0"/>
            <w:autoSpaceDE w:val="0"/>
            <w:autoSpaceDN w:val="0"/>
            <w:adjustRightInd w:val="0"/>
            <w:spacing w:before="40" w:after="0" w:line="240" w:lineRule="auto"/>
            <w:rPr>
              <w:color w:val="A6A6A6" w:themeColor="background1" w:themeShade="A6"/>
              <w:sz w:val="40"/>
              <w:szCs w:val="40"/>
            </w:rPr>
          </w:pPr>
        </w:p>
      </w:tc>
    </w:tr>
    <w:tr w:rsidR="00BD753E" w:rsidRPr="00795252" w:rsidTr="00543B64">
      <w:trPr>
        <w:gridAfter w:val="1"/>
        <w:wAfter w:w="7" w:type="dxa"/>
        <w:cantSplit/>
        <w:trHeight w:hRule="exact" w:val="567"/>
      </w:trPr>
      <w:tc>
        <w:tcPr>
          <w:tcW w:w="9259" w:type="dxa"/>
          <w:vMerge/>
          <w:tcBorders>
            <w:right w:val="single" w:sz="4" w:space="0" w:color="808080" w:themeColor="background1" w:themeShade="80"/>
          </w:tcBorders>
          <w:tcMar>
            <w:right w:w="113" w:type="dxa"/>
          </w:tcMar>
          <w:vAlign w:val="bottom"/>
        </w:tcPr>
        <w:p w:rsidR="00BD753E" w:rsidRPr="00795252" w:rsidRDefault="00BD753E" w:rsidP="005467C5">
          <w:pPr>
            <w:suppressAutoHyphens w:val="0"/>
            <w:autoSpaceDE w:val="0"/>
            <w:autoSpaceDN w:val="0"/>
            <w:adjustRightInd w:val="0"/>
            <w:spacing w:before="40" w:after="0" w:line="240" w:lineRule="auto"/>
            <w:jc w:val="right"/>
            <w:rPr>
              <w:rFonts w:cs="Arial"/>
              <w:color w:val="A6A6A6" w:themeColor="background1" w:themeShade="A6"/>
              <w:sz w:val="14"/>
              <w:szCs w:val="14"/>
            </w:rPr>
          </w:pPr>
        </w:p>
      </w:tc>
      <w:tc>
        <w:tcPr>
          <w:tcW w:w="1247" w:type="dxa"/>
          <w:tcBorders>
            <w:left w:val="single" w:sz="4" w:space="0" w:color="808080" w:themeColor="background1" w:themeShade="80"/>
          </w:tcBorders>
          <w:shd w:val="clear" w:color="auto" w:fill="FFFFFF" w:themeFill="background1"/>
          <w:tcMar>
            <w:left w:w="113" w:type="dxa"/>
          </w:tcMar>
          <w:vAlign w:val="bottom"/>
        </w:tcPr>
        <w:p w:rsidR="00BD753E" w:rsidRPr="00795252" w:rsidRDefault="00BD753E" w:rsidP="005467C5">
          <w:pPr>
            <w:suppressAutoHyphens w:val="0"/>
            <w:autoSpaceDE w:val="0"/>
            <w:autoSpaceDN w:val="0"/>
            <w:adjustRightInd w:val="0"/>
            <w:spacing w:before="40" w:after="0" w:line="240" w:lineRule="auto"/>
            <w:rPr>
              <w:rStyle w:val="slostrnky"/>
              <w:color w:val="A6A6A6" w:themeColor="background1" w:themeShade="A6"/>
              <w:sz w:val="40"/>
              <w:szCs w:val="40"/>
            </w:rPr>
          </w:pPr>
          <w:r w:rsidRPr="00795252">
            <w:rPr>
              <w:rStyle w:val="slostrnky"/>
              <w:color w:val="A6A6A6" w:themeColor="background1" w:themeShade="A6"/>
              <w:sz w:val="40"/>
              <w:szCs w:val="40"/>
            </w:rPr>
            <w:fldChar w:fldCharType="begin"/>
          </w:r>
          <w:r w:rsidRPr="00795252">
            <w:rPr>
              <w:rStyle w:val="slostrnky"/>
              <w:color w:val="A6A6A6" w:themeColor="background1" w:themeShade="A6"/>
              <w:sz w:val="40"/>
              <w:szCs w:val="40"/>
            </w:rPr>
            <w:instrText xml:space="preserve">PAGE  </w:instrText>
          </w:r>
          <w:r w:rsidRPr="00795252">
            <w:rPr>
              <w:rStyle w:val="slostrnky"/>
              <w:color w:val="A6A6A6" w:themeColor="background1" w:themeShade="A6"/>
              <w:sz w:val="40"/>
              <w:szCs w:val="40"/>
            </w:rPr>
            <w:fldChar w:fldCharType="separate"/>
          </w:r>
          <w:r>
            <w:rPr>
              <w:rStyle w:val="slostrnky"/>
              <w:noProof/>
              <w:color w:val="A6A6A6" w:themeColor="background1" w:themeShade="A6"/>
              <w:sz w:val="40"/>
              <w:szCs w:val="40"/>
            </w:rPr>
            <w:t>5</w:t>
          </w:r>
          <w:r w:rsidRPr="00795252">
            <w:rPr>
              <w:rStyle w:val="slostrnky"/>
              <w:color w:val="A6A6A6" w:themeColor="background1" w:themeShade="A6"/>
              <w:sz w:val="40"/>
              <w:szCs w:val="40"/>
            </w:rPr>
            <w:fldChar w:fldCharType="end"/>
          </w:r>
        </w:p>
      </w:tc>
    </w:tr>
  </w:tbl>
  <w:p w:rsidR="00BD753E" w:rsidRDefault="00BD753E" w:rsidP="000556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226E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2BD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A477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0CD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0012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42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A2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4B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74E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0A5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45AC5"/>
    <w:multiLevelType w:val="singleLevel"/>
    <w:tmpl w:val="BC9C422C"/>
    <w:lvl w:ilvl="0">
      <w:start w:val="1"/>
      <w:numFmt w:val="bullet"/>
      <w:pStyle w:val="Odrka"/>
      <w:lvlText w:val=""/>
      <w:lvlJc w:val="left"/>
      <w:pPr>
        <w:ind w:left="227" w:hanging="227"/>
      </w:pPr>
      <w:rPr>
        <w:rFonts w:ascii="Wingdings" w:hAnsi="Wingdings" w:hint="default"/>
        <w:b/>
        <w:i w:val="0"/>
        <w:caps w:val="0"/>
        <w:strike w:val="0"/>
        <w:dstrike w:val="0"/>
        <w:vanish w:val="0"/>
        <w:color w:val="0070C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1BD2461"/>
    <w:multiLevelType w:val="singleLevel"/>
    <w:tmpl w:val="CA468276"/>
    <w:lvl w:ilvl="0">
      <w:start w:val="1"/>
      <w:numFmt w:val="decimal"/>
      <w:pStyle w:val="Seznam1"/>
      <w:lvlText w:val="%1)"/>
      <w:lvlJc w:val="center"/>
      <w:pPr>
        <w:ind w:left="340" w:hanging="255"/>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424F8B"/>
    <w:multiLevelType w:val="multilevel"/>
    <w:tmpl w:val="A97A1BC0"/>
    <w:lvl w:ilvl="0">
      <w:start w:val="1"/>
      <w:numFmt w:val="decimal"/>
      <w:pStyle w:val="Nadpis1"/>
      <w:lvlText w:val="%1"/>
      <w:lvlJc w:val="left"/>
      <w:pPr>
        <w:ind w:left="851" w:hanging="851"/>
      </w:pPr>
      <w:rPr>
        <w:rFonts w:ascii="Arial" w:hAnsi="Arial" w:hint="default"/>
        <w:b w:val="0"/>
        <w:i w:val="0"/>
        <w:caps w:val="0"/>
        <w:strike w:val="0"/>
        <w:dstrike w:val="0"/>
        <w:vanish w:val="0"/>
        <w:color w:val="0070C0"/>
        <w:kern w:val="0"/>
        <w:sz w:val="5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851" w:hanging="851"/>
      </w:pPr>
      <w:rPr>
        <w:rFonts w:hint="default"/>
        <w:b w:val="0"/>
        <w:i w:val="0"/>
        <w:strike w:val="0"/>
        <w:color w:val="0070C0"/>
        <w:sz w:val="30"/>
        <w:szCs w:val="30"/>
        <w14:textOutline w14:w="0" w14:cap="rnd" w14:cmpd="sng" w14:algn="ctr">
          <w14:noFill/>
          <w14:prstDash w14:val="solid"/>
          <w14:bevel/>
        </w14:textOutline>
      </w:rPr>
    </w:lvl>
    <w:lvl w:ilvl="2">
      <w:start w:val="1"/>
      <w:numFmt w:val="decimal"/>
      <w:pStyle w:val="Nadpis3"/>
      <w:lvlText w:val="%1.%2.%3"/>
      <w:lvlJc w:val="left"/>
      <w:pPr>
        <w:ind w:left="851" w:hanging="851"/>
      </w:pPr>
      <w:rPr>
        <w:rFonts w:ascii="Arial" w:hAnsi="Arial" w:hint="default"/>
        <w:b w:val="0"/>
        <w:i w:val="0"/>
        <w:caps w:val="0"/>
        <w:strike w:val="0"/>
        <w:dstrike w:val="0"/>
        <w:vanish w:val="0"/>
        <w:color w:val="0070C0"/>
        <w:ker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ind w:left="851" w:hanging="851"/>
      </w:pPr>
      <w:rPr>
        <w:rFonts w:ascii="Arial" w:hAnsi="Arial" w:hint="default"/>
        <w:b w:val="0"/>
        <w:i w:val="0"/>
        <w:caps w:val="0"/>
        <w:strike w:val="0"/>
        <w:dstrike w:val="0"/>
        <w:vanish w:val="0"/>
        <w:color w:val="0070C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021"/>
        </w:tabs>
        <w:ind w:left="1021" w:hanging="1021"/>
      </w:pPr>
      <w:rPr>
        <w:rFonts w:hint="default"/>
      </w:rPr>
    </w:lvl>
    <w:lvl w:ilvl="6">
      <w:start w:val="1"/>
      <w:numFmt w:val="decimal"/>
      <w:lvlText w:val="%1.%2.%3.%4.%5.%6.%7."/>
      <w:lvlJc w:val="left"/>
      <w:pPr>
        <w:tabs>
          <w:tab w:val="num" w:pos="1021"/>
        </w:tabs>
        <w:ind w:left="1021" w:hanging="1021"/>
      </w:pPr>
      <w:rPr>
        <w:rFonts w:hint="default"/>
      </w:rPr>
    </w:lvl>
    <w:lvl w:ilvl="7">
      <w:start w:val="1"/>
      <w:numFmt w:val="decimal"/>
      <w:lvlText w:val="%1.%2.%3.%4.%5.%6.%7.%8."/>
      <w:lvlJc w:val="left"/>
      <w:pPr>
        <w:tabs>
          <w:tab w:val="num" w:pos="1021"/>
        </w:tabs>
        <w:ind w:left="1021" w:hanging="1021"/>
      </w:pPr>
      <w:rPr>
        <w:rFonts w:hint="default"/>
      </w:rPr>
    </w:lvl>
    <w:lvl w:ilvl="8">
      <w:start w:val="1"/>
      <w:numFmt w:val="decimal"/>
      <w:lvlText w:val="%1.%2.%3.%4.%5.%6.%7.%8.%9."/>
      <w:lvlJc w:val="left"/>
      <w:pPr>
        <w:tabs>
          <w:tab w:val="num" w:pos="1021"/>
        </w:tabs>
        <w:ind w:left="1021" w:hanging="1021"/>
      </w:pPr>
      <w:rPr>
        <w:rFonts w:hint="default"/>
      </w:rPr>
    </w:lvl>
  </w:abstractNum>
  <w:abstractNum w:abstractNumId="13" w15:restartNumberingAfterBreak="0">
    <w:nsid w:val="1F7760EC"/>
    <w:multiLevelType w:val="multilevel"/>
    <w:tmpl w:val="5B86C110"/>
    <w:numStyleLink w:val="Styl3"/>
  </w:abstractNum>
  <w:abstractNum w:abstractNumId="14" w15:restartNumberingAfterBreak="0">
    <w:nsid w:val="264323B7"/>
    <w:multiLevelType w:val="hybridMultilevel"/>
    <w:tmpl w:val="1F5C4D68"/>
    <w:lvl w:ilvl="0" w:tplc="93709D6E">
      <w:start w:val="1"/>
      <w:numFmt w:val="decimal"/>
      <w:lvlText w:val="%1"/>
      <w:lvlJc w:val="left"/>
      <w:pPr>
        <w:ind w:left="720" w:hanging="360"/>
      </w:pPr>
      <w:rPr>
        <w:rFonts w:ascii="Arial" w:hAnsi="Arial"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BF1469"/>
    <w:multiLevelType w:val="multilevel"/>
    <w:tmpl w:val="5B86C110"/>
    <w:styleLink w:val="Styl3"/>
    <w:lvl w:ilvl="0">
      <w:start w:val="1"/>
      <w:numFmt w:val="decimal"/>
      <w:lvlText w:val="%1"/>
      <w:lvlJc w:val="left"/>
      <w:pPr>
        <w:tabs>
          <w:tab w:val="num" w:pos="680"/>
        </w:tabs>
        <w:ind w:left="510" w:hanging="510"/>
      </w:pPr>
      <w:rPr>
        <w:rFonts w:ascii="Arial" w:hAnsi="Arial" w:hint="default"/>
        <w:b w:val="0"/>
        <w:i w:val="0"/>
        <w:caps w:val="0"/>
        <w:strike w:val="0"/>
        <w:dstrike w:val="0"/>
        <w:vanish w:val="0"/>
        <w:color w:val="0070C0"/>
        <w:kern w:val="0"/>
        <w:sz w:val="40"/>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510" w:hanging="510"/>
      </w:pPr>
      <w:rPr>
        <w:rFonts w:hint="default"/>
        <w:b w:val="0"/>
        <w:i w:val="0"/>
        <w:strike w:val="0"/>
        <w:color w:val="0070C0"/>
        <w14:textOutline w14:w="0" w14:cap="rnd" w14:cmpd="sng" w14:algn="ctr">
          <w14:noFill/>
          <w14:prstDash w14:val="solid"/>
          <w14:bevel/>
        </w14:textOutline>
      </w:rPr>
    </w:lvl>
    <w:lvl w:ilvl="2">
      <w:start w:val="1"/>
      <w:numFmt w:val="decimal"/>
      <w:lvlText w:val="%1.%2.%3"/>
      <w:lvlJc w:val="left"/>
      <w:pPr>
        <w:tabs>
          <w:tab w:val="num" w:pos="680"/>
        </w:tabs>
        <w:ind w:left="510" w:hanging="510"/>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80"/>
        </w:tabs>
        <w:ind w:left="510" w:hanging="510"/>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510" w:hanging="510"/>
      </w:pPr>
      <w:rPr>
        <w:rFonts w:hint="default"/>
      </w:rPr>
    </w:lvl>
    <w:lvl w:ilvl="5">
      <w:start w:val="1"/>
      <w:numFmt w:val="decimal"/>
      <w:lvlText w:val="%1.%2.%3.%4.%5.%6."/>
      <w:lvlJc w:val="left"/>
      <w:pPr>
        <w:tabs>
          <w:tab w:val="num" w:pos="680"/>
        </w:tabs>
        <w:ind w:left="510" w:hanging="510"/>
      </w:pPr>
      <w:rPr>
        <w:rFonts w:hint="default"/>
      </w:rPr>
    </w:lvl>
    <w:lvl w:ilvl="6">
      <w:start w:val="1"/>
      <w:numFmt w:val="decimal"/>
      <w:lvlText w:val="%1.%2.%3.%4.%5.%6.%7."/>
      <w:lvlJc w:val="left"/>
      <w:pPr>
        <w:tabs>
          <w:tab w:val="num" w:pos="680"/>
        </w:tabs>
        <w:ind w:left="510" w:hanging="510"/>
      </w:pPr>
      <w:rPr>
        <w:rFonts w:hint="default"/>
      </w:rPr>
    </w:lvl>
    <w:lvl w:ilvl="7">
      <w:start w:val="1"/>
      <w:numFmt w:val="decimal"/>
      <w:lvlText w:val="%1.%2.%3.%4.%5.%6.%7.%8."/>
      <w:lvlJc w:val="left"/>
      <w:pPr>
        <w:tabs>
          <w:tab w:val="num" w:pos="680"/>
        </w:tabs>
        <w:ind w:left="510" w:hanging="510"/>
      </w:pPr>
      <w:rPr>
        <w:rFonts w:hint="default"/>
      </w:rPr>
    </w:lvl>
    <w:lvl w:ilvl="8">
      <w:start w:val="1"/>
      <w:numFmt w:val="decimal"/>
      <w:lvlText w:val="%1.%2.%3.%4.%5.%6.%7.%8.%9."/>
      <w:lvlJc w:val="left"/>
      <w:pPr>
        <w:tabs>
          <w:tab w:val="num" w:pos="680"/>
        </w:tabs>
        <w:ind w:left="510" w:hanging="510"/>
      </w:pPr>
      <w:rPr>
        <w:rFonts w:hint="default"/>
      </w:rPr>
    </w:lvl>
  </w:abstractNum>
  <w:abstractNum w:abstractNumId="16" w15:restartNumberingAfterBreak="0">
    <w:nsid w:val="2BDA772D"/>
    <w:multiLevelType w:val="singleLevel"/>
    <w:tmpl w:val="65388CAE"/>
    <w:lvl w:ilvl="0">
      <w:start w:val="1"/>
      <w:numFmt w:val="bullet"/>
      <w:pStyle w:val="Odrka-"/>
      <w:lvlText w:val="–"/>
      <w:lvlJc w:val="left"/>
      <w:pPr>
        <w:tabs>
          <w:tab w:val="num" w:pos="680"/>
        </w:tabs>
        <w:ind w:left="680" w:hanging="396"/>
      </w:pPr>
      <w:rPr>
        <w:rFonts w:ascii="Arial" w:hAnsi="Arial" w:hint="default"/>
        <w:b w:val="0"/>
        <w:i w:val="0"/>
        <w:sz w:val="20"/>
        <w:szCs w:val="20"/>
        <w:u w:val="none"/>
      </w:rPr>
    </w:lvl>
  </w:abstractNum>
  <w:abstractNum w:abstractNumId="17" w15:restartNumberingAfterBreak="0">
    <w:nsid w:val="33AE673A"/>
    <w:multiLevelType w:val="singleLevel"/>
    <w:tmpl w:val="8DEE86DC"/>
    <w:lvl w:ilvl="0">
      <w:start w:val="1"/>
      <w:numFmt w:val="bullet"/>
      <w:pStyle w:val="Pododrka"/>
      <w:lvlText w:val="–"/>
      <w:lvlJc w:val="left"/>
      <w:pPr>
        <w:ind w:left="454" w:hanging="227"/>
      </w:pPr>
      <w:rPr>
        <w:rFonts w:ascii="Arial" w:hAnsi="Arial" w:hint="default"/>
        <w:b w:val="0"/>
        <w:i w:val="0"/>
        <w:sz w:val="20"/>
        <w:szCs w:val="20"/>
        <w:u w:val="none"/>
      </w:rPr>
    </w:lvl>
  </w:abstractNum>
  <w:abstractNum w:abstractNumId="18" w15:restartNumberingAfterBreak="0">
    <w:nsid w:val="511E21C1"/>
    <w:multiLevelType w:val="hybridMultilevel"/>
    <w:tmpl w:val="3170E520"/>
    <w:lvl w:ilvl="0" w:tplc="BA422B84">
      <w:start w:val="1"/>
      <w:numFmt w:val="none"/>
      <w:pStyle w:val="Textpoznmky"/>
      <w:lvlText w:val="Poznámka:"/>
      <w:lvlJc w:val="left"/>
      <w:pPr>
        <w:ind w:left="1211" w:hanging="360"/>
      </w:pPr>
      <w:rPr>
        <w:rFonts w:ascii="Arial" w:hAnsi="Arial" w:hint="default"/>
        <w:b w:val="0"/>
        <w:i w:val="0"/>
        <w:caps w:val="0"/>
        <w:strike w:val="0"/>
        <w:dstrike w:val="0"/>
        <w:vanish w:val="0"/>
        <w:color w:val="000000"/>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15:restartNumberingAfterBreak="0">
    <w:nsid w:val="57AA6D4D"/>
    <w:multiLevelType w:val="multilevel"/>
    <w:tmpl w:val="4E0EFB90"/>
    <w:styleLink w:val="Styl1"/>
    <w:lvl w:ilvl="0">
      <w:start w:val="1"/>
      <w:numFmt w:val="decimal"/>
      <w:lvlText w:val="%1"/>
      <w:lvlJc w:val="left"/>
      <w:pPr>
        <w:tabs>
          <w:tab w:val="num" w:pos="680"/>
        </w:tabs>
        <w:ind w:left="624" w:hanging="624"/>
      </w:pPr>
      <w:rPr>
        <w:rFonts w:ascii="Arial" w:hAnsi="Arial" w:hint="default"/>
        <w:b w:val="0"/>
        <w:i w:val="0"/>
        <w:caps w:val="0"/>
        <w:strike w:val="0"/>
        <w:dstrike w:val="0"/>
        <w:vanish w:val="0"/>
        <w:color w:val="0070C0"/>
        <w:kern w:val="0"/>
        <w:sz w:val="40"/>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624" w:hanging="624"/>
      </w:pPr>
      <w:rPr>
        <w:rFonts w:hint="default"/>
        <w:b w:val="0"/>
        <w:i w:val="0"/>
        <w:strike w:val="0"/>
        <w:color w:val="0070C0"/>
        <w14:textOutline w14:w="0" w14:cap="rnd" w14:cmpd="sng" w14:algn="ctr">
          <w14:noFill/>
          <w14:prstDash w14:val="solid"/>
          <w14:bevel/>
        </w14:textOutline>
      </w:rPr>
    </w:lvl>
    <w:lvl w:ilvl="2">
      <w:start w:val="1"/>
      <w:numFmt w:val="decimal"/>
      <w:lvlText w:val="%1.%2.%3"/>
      <w:lvlJc w:val="left"/>
      <w:pPr>
        <w:tabs>
          <w:tab w:val="num" w:pos="680"/>
        </w:tabs>
        <w:ind w:left="624" w:hanging="624"/>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80"/>
        </w:tabs>
        <w:ind w:left="624" w:hanging="624"/>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624" w:hanging="624"/>
      </w:pPr>
      <w:rPr>
        <w:rFonts w:hint="default"/>
      </w:rPr>
    </w:lvl>
    <w:lvl w:ilvl="5">
      <w:start w:val="1"/>
      <w:numFmt w:val="decimal"/>
      <w:lvlText w:val="%1.%2.%3.%4.%5.%6."/>
      <w:lvlJc w:val="left"/>
      <w:pPr>
        <w:tabs>
          <w:tab w:val="num" w:pos="680"/>
        </w:tabs>
        <w:ind w:left="624" w:hanging="624"/>
      </w:pPr>
      <w:rPr>
        <w:rFonts w:hint="default"/>
      </w:rPr>
    </w:lvl>
    <w:lvl w:ilvl="6">
      <w:start w:val="1"/>
      <w:numFmt w:val="decimal"/>
      <w:lvlText w:val="%1.%2.%3.%4.%5.%6.%7."/>
      <w:lvlJc w:val="left"/>
      <w:pPr>
        <w:tabs>
          <w:tab w:val="num" w:pos="680"/>
        </w:tabs>
        <w:ind w:left="624" w:hanging="624"/>
      </w:pPr>
      <w:rPr>
        <w:rFonts w:hint="default"/>
      </w:rPr>
    </w:lvl>
    <w:lvl w:ilvl="7">
      <w:start w:val="1"/>
      <w:numFmt w:val="decimal"/>
      <w:lvlText w:val="%1.%2.%3.%4.%5.%6.%7.%8."/>
      <w:lvlJc w:val="left"/>
      <w:pPr>
        <w:tabs>
          <w:tab w:val="num" w:pos="680"/>
        </w:tabs>
        <w:ind w:left="624" w:hanging="624"/>
      </w:pPr>
      <w:rPr>
        <w:rFonts w:hint="default"/>
      </w:rPr>
    </w:lvl>
    <w:lvl w:ilvl="8">
      <w:start w:val="1"/>
      <w:numFmt w:val="decimal"/>
      <w:lvlText w:val="%1.%2.%3.%4.%5.%6.%7.%8.%9."/>
      <w:lvlJc w:val="left"/>
      <w:pPr>
        <w:tabs>
          <w:tab w:val="num" w:pos="680"/>
        </w:tabs>
        <w:ind w:left="624" w:hanging="624"/>
      </w:pPr>
      <w:rPr>
        <w:rFonts w:hint="default"/>
      </w:rPr>
    </w:lvl>
  </w:abstractNum>
  <w:abstractNum w:abstractNumId="20" w15:restartNumberingAfterBreak="0">
    <w:nsid w:val="5B4A6257"/>
    <w:multiLevelType w:val="singleLevel"/>
    <w:tmpl w:val="FF702A9E"/>
    <w:lvl w:ilvl="0">
      <w:start w:val="1"/>
      <w:numFmt w:val="none"/>
      <w:pStyle w:val="Textkomente"/>
      <w:lvlText w:val="Poznámka:"/>
      <w:lvlJc w:val="left"/>
      <w:pPr>
        <w:tabs>
          <w:tab w:val="num" w:pos="1247"/>
        </w:tabs>
        <w:ind w:left="1247" w:hanging="1247"/>
      </w:pPr>
      <w:rPr>
        <w:rFonts w:ascii="Arial" w:hAnsi="Arial" w:hint="default"/>
        <w:b w:val="0"/>
        <w:i w:val="0"/>
        <w:caps w:val="0"/>
        <w:strike w:val="0"/>
        <w:dstrike w:val="0"/>
        <w:vanish w:val="0"/>
        <w:color w:val="000000"/>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E693043"/>
    <w:multiLevelType w:val="hybridMultilevel"/>
    <w:tmpl w:val="EC18EA86"/>
    <w:lvl w:ilvl="0" w:tplc="D548DD5E">
      <w:start w:val="1"/>
      <w:numFmt w:val="bullet"/>
      <w:pStyle w:val="Odrkao"/>
      <w:lvlText w:val=""/>
      <w:lvlJc w:val="left"/>
      <w:pPr>
        <w:ind w:left="417"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FC457B"/>
    <w:multiLevelType w:val="multilevel"/>
    <w:tmpl w:val="8FC04030"/>
    <w:styleLink w:val="Styl2"/>
    <w:lvl w:ilvl="0">
      <w:start w:val="1"/>
      <w:numFmt w:val="decimal"/>
      <w:lvlText w:val="%1"/>
      <w:lvlJc w:val="left"/>
      <w:pPr>
        <w:tabs>
          <w:tab w:val="num" w:pos="680"/>
        </w:tabs>
        <w:ind w:left="510" w:hanging="510"/>
      </w:pPr>
      <w:rPr>
        <w:rFonts w:ascii="Arial" w:hAnsi="Arial" w:hint="default"/>
        <w:b w:val="0"/>
        <w:i w:val="0"/>
        <w:caps w:val="0"/>
        <w:strike w:val="0"/>
        <w:dstrike w:val="0"/>
        <w:vanish w:val="0"/>
        <w:color w:val="0070C0"/>
        <w:kern w:val="0"/>
        <w:sz w:val="40"/>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851" w:hanging="851"/>
      </w:pPr>
      <w:rPr>
        <w:rFonts w:hint="default"/>
        <w:b w:val="0"/>
        <w:i w:val="0"/>
        <w:strike w:val="0"/>
        <w:color w:val="0070C0"/>
        <w14:textOutline w14:w="0" w14:cap="rnd" w14:cmpd="sng" w14:algn="ctr">
          <w14:noFill/>
          <w14:prstDash w14:val="solid"/>
          <w14:bevel/>
        </w14:textOutline>
      </w:rPr>
    </w:lvl>
    <w:lvl w:ilvl="2">
      <w:start w:val="1"/>
      <w:numFmt w:val="decimal"/>
      <w:lvlText w:val="%1.%2.%3"/>
      <w:lvlJc w:val="left"/>
      <w:pPr>
        <w:tabs>
          <w:tab w:val="num" w:pos="680"/>
        </w:tabs>
        <w:ind w:left="851" w:hanging="851"/>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37"/>
        </w:tabs>
        <w:ind w:left="737" w:hanging="737"/>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851" w:hanging="851"/>
      </w:pPr>
      <w:rPr>
        <w:rFonts w:hint="default"/>
      </w:rPr>
    </w:lvl>
    <w:lvl w:ilvl="5">
      <w:start w:val="1"/>
      <w:numFmt w:val="decimal"/>
      <w:lvlText w:val="%1.%2.%3.%4.%5.%6."/>
      <w:lvlJc w:val="left"/>
      <w:pPr>
        <w:tabs>
          <w:tab w:val="num" w:pos="680"/>
        </w:tabs>
        <w:ind w:left="851" w:hanging="851"/>
      </w:pPr>
      <w:rPr>
        <w:rFonts w:hint="default"/>
      </w:rPr>
    </w:lvl>
    <w:lvl w:ilvl="6">
      <w:start w:val="1"/>
      <w:numFmt w:val="decimal"/>
      <w:lvlText w:val="%1.%2.%3.%4.%5.%6.%7."/>
      <w:lvlJc w:val="left"/>
      <w:pPr>
        <w:tabs>
          <w:tab w:val="num" w:pos="680"/>
        </w:tabs>
        <w:ind w:left="851" w:hanging="851"/>
      </w:pPr>
      <w:rPr>
        <w:rFonts w:hint="default"/>
      </w:rPr>
    </w:lvl>
    <w:lvl w:ilvl="7">
      <w:start w:val="1"/>
      <w:numFmt w:val="decimal"/>
      <w:lvlText w:val="%1.%2.%3.%4.%5.%6.%7.%8."/>
      <w:lvlJc w:val="left"/>
      <w:pPr>
        <w:tabs>
          <w:tab w:val="num" w:pos="680"/>
        </w:tabs>
        <w:ind w:left="851" w:hanging="851"/>
      </w:pPr>
      <w:rPr>
        <w:rFonts w:hint="default"/>
      </w:rPr>
    </w:lvl>
    <w:lvl w:ilvl="8">
      <w:start w:val="1"/>
      <w:numFmt w:val="decimal"/>
      <w:lvlText w:val="%1.%2.%3.%4.%5.%6.%7.%8.%9."/>
      <w:lvlJc w:val="left"/>
      <w:pPr>
        <w:tabs>
          <w:tab w:val="num" w:pos="680"/>
        </w:tabs>
        <w:ind w:left="851" w:hanging="851"/>
      </w:pPr>
      <w:rPr>
        <w:rFonts w:hint="default"/>
      </w:rPr>
    </w:lvl>
  </w:abstractNum>
  <w:abstractNum w:abstractNumId="23" w15:restartNumberingAfterBreak="0">
    <w:nsid w:val="70EB2AB0"/>
    <w:multiLevelType w:val="multilevel"/>
    <w:tmpl w:val="490A79AA"/>
    <w:lvl w:ilvl="0">
      <w:start w:val="1"/>
      <w:numFmt w:val="decimal"/>
      <w:lvlText w:val="%1"/>
      <w:lvlJc w:val="left"/>
      <w:pPr>
        <w:tabs>
          <w:tab w:val="num" w:pos="680"/>
        </w:tabs>
        <w:ind w:left="851" w:hanging="851"/>
      </w:pPr>
      <w:rPr>
        <w:rFonts w:ascii="Arial" w:hAnsi="Arial" w:hint="default"/>
        <w:b w:val="0"/>
        <w:i w:val="0"/>
        <w:caps w:val="0"/>
        <w:strike w:val="0"/>
        <w:dstrike w:val="0"/>
        <w:vanish w:val="0"/>
        <w:color w:val="0070C0"/>
        <w:kern w:val="0"/>
        <w:sz w:val="40"/>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0"/>
        </w:tabs>
        <w:ind w:left="851" w:hanging="851"/>
      </w:pPr>
      <w:rPr>
        <w:rFonts w:hint="default"/>
        <w:b w:val="0"/>
        <w:i w:val="0"/>
        <w:strike w:val="0"/>
        <w:color w:val="0070C0"/>
        <w14:textOutline w14:w="0" w14:cap="rnd" w14:cmpd="sng" w14:algn="ctr">
          <w14:noFill/>
          <w14:prstDash w14:val="solid"/>
          <w14:bevel/>
        </w14:textOutline>
      </w:rPr>
    </w:lvl>
    <w:lvl w:ilvl="2">
      <w:start w:val="1"/>
      <w:numFmt w:val="decimal"/>
      <w:lvlText w:val="%1.%2.%3"/>
      <w:lvlJc w:val="left"/>
      <w:pPr>
        <w:tabs>
          <w:tab w:val="num" w:pos="680"/>
        </w:tabs>
        <w:ind w:left="851" w:hanging="851"/>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80"/>
        </w:tabs>
        <w:ind w:left="851" w:hanging="851"/>
      </w:pPr>
      <w:rPr>
        <w:rFonts w:ascii="Arial" w:hAnsi="Arial" w:hint="default"/>
        <w:b w:val="0"/>
        <w:i w:val="0"/>
        <w:caps w:val="0"/>
        <w:strike w:val="0"/>
        <w:dstrike w:val="0"/>
        <w:vanish w:val="0"/>
        <w:color w:val="0070C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680"/>
        </w:tabs>
        <w:ind w:left="851" w:hanging="851"/>
      </w:pPr>
      <w:rPr>
        <w:rFonts w:hint="default"/>
      </w:rPr>
    </w:lvl>
    <w:lvl w:ilvl="5">
      <w:start w:val="1"/>
      <w:numFmt w:val="decimal"/>
      <w:lvlText w:val="%1.%2.%3.%4.%5.%6."/>
      <w:lvlJc w:val="left"/>
      <w:pPr>
        <w:tabs>
          <w:tab w:val="num" w:pos="680"/>
        </w:tabs>
        <w:ind w:left="851" w:hanging="851"/>
      </w:pPr>
      <w:rPr>
        <w:rFonts w:hint="default"/>
      </w:rPr>
    </w:lvl>
    <w:lvl w:ilvl="6">
      <w:start w:val="1"/>
      <w:numFmt w:val="decimal"/>
      <w:lvlText w:val="%1.%2.%3.%4.%5.%6.%7."/>
      <w:lvlJc w:val="left"/>
      <w:pPr>
        <w:tabs>
          <w:tab w:val="num" w:pos="680"/>
        </w:tabs>
        <w:ind w:left="851" w:hanging="851"/>
      </w:pPr>
      <w:rPr>
        <w:rFonts w:hint="default"/>
      </w:rPr>
    </w:lvl>
    <w:lvl w:ilvl="7">
      <w:start w:val="1"/>
      <w:numFmt w:val="decimal"/>
      <w:lvlText w:val="%1.%2.%3.%4.%5.%6.%7.%8."/>
      <w:lvlJc w:val="left"/>
      <w:pPr>
        <w:tabs>
          <w:tab w:val="num" w:pos="680"/>
        </w:tabs>
        <w:ind w:left="851" w:hanging="851"/>
      </w:pPr>
      <w:rPr>
        <w:rFonts w:hint="default"/>
      </w:rPr>
    </w:lvl>
    <w:lvl w:ilvl="8">
      <w:start w:val="1"/>
      <w:numFmt w:val="decimal"/>
      <w:lvlText w:val="%1.%2.%3.%4.%5.%6.%7.%8.%9."/>
      <w:lvlJc w:val="left"/>
      <w:pPr>
        <w:tabs>
          <w:tab w:val="num" w:pos="680"/>
        </w:tabs>
        <w:ind w:left="851" w:hanging="851"/>
      </w:pPr>
      <w:rPr>
        <w:rFonts w:hint="default"/>
      </w:rPr>
    </w:lvl>
  </w:abstractNum>
  <w:abstractNum w:abstractNumId="24" w15:restartNumberingAfterBreak="0">
    <w:nsid w:val="76C07B2D"/>
    <w:multiLevelType w:val="singleLevel"/>
    <w:tmpl w:val="F978336C"/>
    <w:lvl w:ilvl="0">
      <w:start w:val="1"/>
      <w:numFmt w:val="decimal"/>
      <w:pStyle w:val="Seznam10"/>
      <w:lvlText w:val="/%1/"/>
      <w:lvlJc w:val="center"/>
      <w:pPr>
        <w:ind w:left="340" w:hanging="22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7A9691F"/>
    <w:multiLevelType w:val="singleLevel"/>
    <w:tmpl w:val="70B8CC46"/>
    <w:lvl w:ilvl="0">
      <w:start w:val="1"/>
      <w:numFmt w:val="decimal"/>
      <w:pStyle w:val="Seznam11"/>
      <w:lvlText w:val="%1."/>
      <w:lvlJc w:val="left"/>
      <w:pPr>
        <w:ind w:left="340" w:hanging="34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C0E0161"/>
    <w:multiLevelType w:val="hybridMultilevel"/>
    <w:tmpl w:val="1F5C4D68"/>
    <w:lvl w:ilvl="0" w:tplc="93709D6E">
      <w:start w:val="1"/>
      <w:numFmt w:val="decimal"/>
      <w:lvlText w:val="%1"/>
      <w:lvlJc w:val="left"/>
      <w:pPr>
        <w:ind w:left="720" w:hanging="360"/>
      </w:pPr>
      <w:rPr>
        <w:rFonts w:ascii="Arial" w:hAnsi="Arial"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20"/>
  </w:num>
  <w:num w:numId="5">
    <w:abstractNumId w:val="25"/>
  </w:num>
  <w:num w:numId="6">
    <w:abstractNumId w:val="11"/>
  </w:num>
  <w:num w:numId="7">
    <w:abstractNumId w:val="24"/>
  </w:num>
  <w:num w:numId="8">
    <w:abstractNumId w:val="1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26"/>
  </w:num>
  <w:num w:numId="21">
    <w:abstractNumId w:val="18"/>
  </w:num>
  <w:num w:numId="22">
    <w:abstractNumId w:val="14"/>
  </w:num>
  <w:num w:numId="23">
    <w:abstractNumId w:val="23"/>
  </w:num>
  <w:num w:numId="24">
    <w:abstractNumId w:val="19"/>
  </w:num>
  <w:num w:numId="25">
    <w:abstractNumId w:val="22"/>
  </w:num>
  <w:num w:numId="26">
    <w:abstractNumId w:val="15"/>
  </w:num>
  <w:num w:numId="27">
    <w:abstractNumId w:val="13"/>
  </w:num>
  <w:num w:numId="28">
    <w:abstractNumId w:val="12"/>
    <w:lvlOverride w:ilvl="0">
      <w:startOverride w:val="1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0"/>
    <w:lvlOverride w:ilvl="0">
      <w:startOverride w:val="1"/>
    </w:lvlOverride>
  </w:num>
  <w:num w:numId="34">
    <w:abstractNumId w:val="17"/>
    <w:lvlOverride w:ilvl="0">
      <w:startOverride w:val="1"/>
    </w:lvlOverride>
  </w:num>
  <w:num w:numId="35">
    <w:abstractNumId w:val="25"/>
    <w:lvlOverride w:ilvl="0">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ttachedTemplate r:id="rId1"/>
  <w:stylePaneSortMethod w:val="0000"/>
  <w:defaultTabStop w:val="709"/>
  <w:hyphenationZone w:val="425"/>
  <w:evenAndOddHeaders/>
  <w:drawingGridHorizontalSpacing w:val="100"/>
  <w:displayHorizontalDrawingGridEvery w:val="0"/>
  <w:displayVerticalDrawingGridEvery w:val="0"/>
  <w:doNotShadeFormData/>
  <w:noPunctuationKerning/>
  <w:characterSpacingControl w:val="doNotCompress"/>
  <w:hdrShapeDefaults>
    <o:shapedefaults v:ext="edit" spidmax="20481" style="mso-position-horizontal-relative:page;mso-position-vertical-relative:page" fill="f" fillcolor="white" stroke="f">
      <v:fill color="white" on="f"/>
      <v:stroke on="f"/>
      <v:textbox inset="0,41mm,20mm,0"/>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966"/>
    <w:rsid w:val="00000869"/>
    <w:rsid w:val="000029F5"/>
    <w:rsid w:val="000031FF"/>
    <w:rsid w:val="000033DC"/>
    <w:rsid w:val="00007DFD"/>
    <w:rsid w:val="000102E8"/>
    <w:rsid w:val="00014B38"/>
    <w:rsid w:val="000301BD"/>
    <w:rsid w:val="00032A07"/>
    <w:rsid w:val="0004022C"/>
    <w:rsid w:val="00046811"/>
    <w:rsid w:val="00050204"/>
    <w:rsid w:val="00053E95"/>
    <w:rsid w:val="00055639"/>
    <w:rsid w:val="000569F0"/>
    <w:rsid w:val="000661C6"/>
    <w:rsid w:val="00073918"/>
    <w:rsid w:val="00074725"/>
    <w:rsid w:val="000828B5"/>
    <w:rsid w:val="000829F9"/>
    <w:rsid w:val="0008674D"/>
    <w:rsid w:val="00091BD0"/>
    <w:rsid w:val="00094147"/>
    <w:rsid w:val="000A4AD7"/>
    <w:rsid w:val="000A5A60"/>
    <w:rsid w:val="000B1F7E"/>
    <w:rsid w:val="000B2B50"/>
    <w:rsid w:val="000B491B"/>
    <w:rsid w:val="000B52A6"/>
    <w:rsid w:val="000B622E"/>
    <w:rsid w:val="000C01E4"/>
    <w:rsid w:val="000C12A6"/>
    <w:rsid w:val="000C15AA"/>
    <w:rsid w:val="000C54B8"/>
    <w:rsid w:val="000C7638"/>
    <w:rsid w:val="000D1462"/>
    <w:rsid w:val="000D3CF8"/>
    <w:rsid w:val="000D57C3"/>
    <w:rsid w:val="000D6794"/>
    <w:rsid w:val="000E0911"/>
    <w:rsid w:val="000F064D"/>
    <w:rsid w:val="000F3893"/>
    <w:rsid w:val="000F4FC3"/>
    <w:rsid w:val="000F7B34"/>
    <w:rsid w:val="00104110"/>
    <w:rsid w:val="00106F0D"/>
    <w:rsid w:val="00111319"/>
    <w:rsid w:val="00112D6D"/>
    <w:rsid w:val="0011547D"/>
    <w:rsid w:val="00116ADE"/>
    <w:rsid w:val="00133B72"/>
    <w:rsid w:val="001355E4"/>
    <w:rsid w:val="00142181"/>
    <w:rsid w:val="00143F8A"/>
    <w:rsid w:val="00146141"/>
    <w:rsid w:val="00151983"/>
    <w:rsid w:val="001617AD"/>
    <w:rsid w:val="001675B9"/>
    <w:rsid w:val="0017066C"/>
    <w:rsid w:val="00192EEC"/>
    <w:rsid w:val="001A7818"/>
    <w:rsid w:val="001B2E24"/>
    <w:rsid w:val="001B73EB"/>
    <w:rsid w:val="001B797F"/>
    <w:rsid w:val="001C0494"/>
    <w:rsid w:val="001C26B8"/>
    <w:rsid w:val="001C4282"/>
    <w:rsid w:val="001C57A6"/>
    <w:rsid w:val="001D062E"/>
    <w:rsid w:val="001D093E"/>
    <w:rsid w:val="001D201B"/>
    <w:rsid w:val="001E5BAE"/>
    <w:rsid w:val="001F4B94"/>
    <w:rsid w:val="001F5A44"/>
    <w:rsid w:val="001F6373"/>
    <w:rsid w:val="00202C1C"/>
    <w:rsid w:val="00207066"/>
    <w:rsid w:val="002114E9"/>
    <w:rsid w:val="00212078"/>
    <w:rsid w:val="00214A0E"/>
    <w:rsid w:val="002202C6"/>
    <w:rsid w:val="002245E8"/>
    <w:rsid w:val="00224DE8"/>
    <w:rsid w:val="00237AE9"/>
    <w:rsid w:val="00243A9A"/>
    <w:rsid w:val="002461E8"/>
    <w:rsid w:val="00252AE3"/>
    <w:rsid w:val="00254D47"/>
    <w:rsid w:val="00256557"/>
    <w:rsid w:val="00266FE2"/>
    <w:rsid w:val="00270E28"/>
    <w:rsid w:val="00273827"/>
    <w:rsid w:val="00276A7A"/>
    <w:rsid w:val="0029574B"/>
    <w:rsid w:val="002A3966"/>
    <w:rsid w:val="002A6593"/>
    <w:rsid w:val="002A6866"/>
    <w:rsid w:val="002A7F1C"/>
    <w:rsid w:val="002B0BEA"/>
    <w:rsid w:val="002B1AE3"/>
    <w:rsid w:val="002B2ED0"/>
    <w:rsid w:val="002B75A3"/>
    <w:rsid w:val="002B7B2B"/>
    <w:rsid w:val="002C6FEA"/>
    <w:rsid w:val="002C7D38"/>
    <w:rsid w:val="002D33E7"/>
    <w:rsid w:val="002E74F5"/>
    <w:rsid w:val="002E794F"/>
    <w:rsid w:val="00302C27"/>
    <w:rsid w:val="00306B0C"/>
    <w:rsid w:val="00307646"/>
    <w:rsid w:val="003129A1"/>
    <w:rsid w:val="003170C2"/>
    <w:rsid w:val="00317645"/>
    <w:rsid w:val="003222C7"/>
    <w:rsid w:val="00325EB8"/>
    <w:rsid w:val="00330B2B"/>
    <w:rsid w:val="003311CA"/>
    <w:rsid w:val="00331467"/>
    <w:rsid w:val="00332C0F"/>
    <w:rsid w:val="00342DFD"/>
    <w:rsid w:val="0034511E"/>
    <w:rsid w:val="00347D2E"/>
    <w:rsid w:val="00350508"/>
    <w:rsid w:val="00362533"/>
    <w:rsid w:val="00367AF5"/>
    <w:rsid w:val="00381048"/>
    <w:rsid w:val="003908FF"/>
    <w:rsid w:val="00390A87"/>
    <w:rsid w:val="00391F8D"/>
    <w:rsid w:val="00392F8A"/>
    <w:rsid w:val="003A20AD"/>
    <w:rsid w:val="003A6828"/>
    <w:rsid w:val="003B5569"/>
    <w:rsid w:val="003B67D2"/>
    <w:rsid w:val="003C74D5"/>
    <w:rsid w:val="003C77A0"/>
    <w:rsid w:val="003C7A15"/>
    <w:rsid w:val="003D692D"/>
    <w:rsid w:val="003D7181"/>
    <w:rsid w:val="003D7523"/>
    <w:rsid w:val="003E11C3"/>
    <w:rsid w:val="003E11CE"/>
    <w:rsid w:val="003E3335"/>
    <w:rsid w:val="003E5E99"/>
    <w:rsid w:val="00406540"/>
    <w:rsid w:val="00413072"/>
    <w:rsid w:val="00413294"/>
    <w:rsid w:val="004159B3"/>
    <w:rsid w:val="004219B6"/>
    <w:rsid w:val="00423FEB"/>
    <w:rsid w:val="00427737"/>
    <w:rsid w:val="00430A13"/>
    <w:rsid w:val="00430BCD"/>
    <w:rsid w:val="00433151"/>
    <w:rsid w:val="004335E0"/>
    <w:rsid w:val="00434D41"/>
    <w:rsid w:val="0043560E"/>
    <w:rsid w:val="00435D0E"/>
    <w:rsid w:val="00437DBD"/>
    <w:rsid w:val="004439EB"/>
    <w:rsid w:val="004450DC"/>
    <w:rsid w:val="00445FF6"/>
    <w:rsid w:val="00471EFE"/>
    <w:rsid w:val="00482E83"/>
    <w:rsid w:val="004837F1"/>
    <w:rsid w:val="0048544C"/>
    <w:rsid w:val="00487B32"/>
    <w:rsid w:val="004A3FF3"/>
    <w:rsid w:val="004A561D"/>
    <w:rsid w:val="004B623A"/>
    <w:rsid w:val="004B7DC0"/>
    <w:rsid w:val="004C150B"/>
    <w:rsid w:val="004C34F8"/>
    <w:rsid w:val="004D1CAF"/>
    <w:rsid w:val="004D2F66"/>
    <w:rsid w:val="004D4D24"/>
    <w:rsid w:val="004D55EF"/>
    <w:rsid w:val="004D645A"/>
    <w:rsid w:val="004E2152"/>
    <w:rsid w:val="004E3826"/>
    <w:rsid w:val="004F1BF2"/>
    <w:rsid w:val="004F25FC"/>
    <w:rsid w:val="004F7323"/>
    <w:rsid w:val="00500F49"/>
    <w:rsid w:val="00501D32"/>
    <w:rsid w:val="00504FF9"/>
    <w:rsid w:val="00506CA7"/>
    <w:rsid w:val="00507C5E"/>
    <w:rsid w:val="00510582"/>
    <w:rsid w:val="00510809"/>
    <w:rsid w:val="00511FF7"/>
    <w:rsid w:val="0051276B"/>
    <w:rsid w:val="005149B4"/>
    <w:rsid w:val="00514B31"/>
    <w:rsid w:val="005207CB"/>
    <w:rsid w:val="005320C6"/>
    <w:rsid w:val="00540365"/>
    <w:rsid w:val="00542BF9"/>
    <w:rsid w:val="00543B64"/>
    <w:rsid w:val="005467C5"/>
    <w:rsid w:val="005479AB"/>
    <w:rsid w:val="00550027"/>
    <w:rsid w:val="00550B09"/>
    <w:rsid w:val="005521C0"/>
    <w:rsid w:val="00563510"/>
    <w:rsid w:val="0057541D"/>
    <w:rsid w:val="005759ED"/>
    <w:rsid w:val="00584010"/>
    <w:rsid w:val="0059047D"/>
    <w:rsid w:val="00590688"/>
    <w:rsid w:val="00591FBB"/>
    <w:rsid w:val="005974BC"/>
    <w:rsid w:val="005A04DC"/>
    <w:rsid w:val="005A4543"/>
    <w:rsid w:val="005A4990"/>
    <w:rsid w:val="005B4D24"/>
    <w:rsid w:val="005C2E2D"/>
    <w:rsid w:val="005C5516"/>
    <w:rsid w:val="005D3801"/>
    <w:rsid w:val="005E124B"/>
    <w:rsid w:val="005E248A"/>
    <w:rsid w:val="005E256F"/>
    <w:rsid w:val="005E4572"/>
    <w:rsid w:val="005E75BB"/>
    <w:rsid w:val="00603699"/>
    <w:rsid w:val="00605070"/>
    <w:rsid w:val="00610C43"/>
    <w:rsid w:val="006125FB"/>
    <w:rsid w:val="0061650B"/>
    <w:rsid w:val="006208AB"/>
    <w:rsid w:val="00620DD3"/>
    <w:rsid w:val="0062158B"/>
    <w:rsid w:val="0063097F"/>
    <w:rsid w:val="00632500"/>
    <w:rsid w:val="00637827"/>
    <w:rsid w:val="00643FB1"/>
    <w:rsid w:val="00644547"/>
    <w:rsid w:val="00646ACA"/>
    <w:rsid w:val="006479B6"/>
    <w:rsid w:val="0065239E"/>
    <w:rsid w:val="006538EC"/>
    <w:rsid w:val="006559E9"/>
    <w:rsid w:val="00663EAD"/>
    <w:rsid w:val="00672947"/>
    <w:rsid w:val="00673206"/>
    <w:rsid w:val="00675DCC"/>
    <w:rsid w:val="00681948"/>
    <w:rsid w:val="006908A6"/>
    <w:rsid w:val="00692764"/>
    <w:rsid w:val="00697B81"/>
    <w:rsid w:val="006A0B77"/>
    <w:rsid w:val="006A1462"/>
    <w:rsid w:val="006A148E"/>
    <w:rsid w:val="006A41E4"/>
    <w:rsid w:val="006A5B6C"/>
    <w:rsid w:val="006A5B9F"/>
    <w:rsid w:val="006A5F3F"/>
    <w:rsid w:val="006B0DA6"/>
    <w:rsid w:val="006B3312"/>
    <w:rsid w:val="006B5831"/>
    <w:rsid w:val="006B7251"/>
    <w:rsid w:val="006C1BEE"/>
    <w:rsid w:val="006C596F"/>
    <w:rsid w:val="006E3CC5"/>
    <w:rsid w:val="006E7B41"/>
    <w:rsid w:val="006F11E8"/>
    <w:rsid w:val="006F14F5"/>
    <w:rsid w:val="00700080"/>
    <w:rsid w:val="00702A97"/>
    <w:rsid w:val="00704385"/>
    <w:rsid w:val="007128FD"/>
    <w:rsid w:val="00725046"/>
    <w:rsid w:val="007253BC"/>
    <w:rsid w:val="00733027"/>
    <w:rsid w:val="00736E54"/>
    <w:rsid w:val="0073705B"/>
    <w:rsid w:val="00737771"/>
    <w:rsid w:val="007522F7"/>
    <w:rsid w:val="00753360"/>
    <w:rsid w:val="00755BC2"/>
    <w:rsid w:val="00760394"/>
    <w:rsid w:val="00761418"/>
    <w:rsid w:val="00763AA0"/>
    <w:rsid w:val="007641EB"/>
    <w:rsid w:val="007732A1"/>
    <w:rsid w:val="0077612B"/>
    <w:rsid w:val="007774F5"/>
    <w:rsid w:val="007817B2"/>
    <w:rsid w:val="0078244A"/>
    <w:rsid w:val="00783D2A"/>
    <w:rsid w:val="00786128"/>
    <w:rsid w:val="00786422"/>
    <w:rsid w:val="007872FB"/>
    <w:rsid w:val="00795252"/>
    <w:rsid w:val="007A16C4"/>
    <w:rsid w:val="007A25DF"/>
    <w:rsid w:val="007A7B1D"/>
    <w:rsid w:val="007B5361"/>
    <w:rsid w:val="007B5821"/>
    <w:rsid w:val="007C0C43"/>
    <w:rsid w:val="007C0F4C"/>
    <w:rsid w:val="007C2093"/>
    <w:rsid w:val="007C7E81"/>
    <w:rsid w:val="007D26F2"/>
    <w:rsid w:val="007D6E1D"/>
    <w:rsid w:val="007D7C81"/>
    <w:rsid w:val="007E00D4"/>
    <w:rsid w:val="007E140C"/>
    <w:rsid w:val="007E472A"/>
    <w:rsid w:val="007E4ECE"/>
    <w:rsid w:val="007F5903"/>
    <w:rsid w:val="007F65E2"/>
    <w:rsid w:val="007F71A4"/>
    <w:rsid w:val="00800178"/>
    <w:rsid w:val="00804B05"/>
    <w:rsid w:val="00804DD7"/>
    <w:rsid w:val="00811369"/>
    <w:rsid w:val="0082685F"/>
    <w:rsid w:val="00830C94"/>
    <w:rsid w:val="008314A7"/>
    <w:rsid w:val="008335F1"/>
    <w:rsid w:val="00851DA2"/>
    <w:rsid w:val="00853E13"/>
    <w:rsid w:val="00856DE3"/>
    <w:rsid w:val="0086073F"/>
    <w:rsid w:val="00862A8B"/>
    <w:rsid w:val="008650BC"/>
    <w:rsid w:val="008652AB"/>
    <w:rsid w:val="00865F76"/>
    <w:rsid w:val="008701A4"/>
    <w:rsid w:val="00873C15"/>
    <w:rsid w:val="00874BD0"/>
    <w:rsid w:val="00881833"/>
    <w:rsid w:val="008822C5"/>
    <w:rsid w:val="0089472A"/>
    <w:rsid w:val="00894E24"/>
    <w:rsid w:val="008959F6"/>
    <w:rsid w:val="008A1C82"/>
    <w:rsid w:val="008A4ACA"/>
    <w:rsid w:val="008A6A00"/>
    <w:rsid w:val="008B54DB"/>
    <w:rsid w:val="008B6F4F"/>
    <w:rsid w:val="008D294E"/>
    <w:rsid w:val="008D2ACD"/>
    <w:rsid w:val="008D3655"/>
    <w:rsid w:val="008D51A8"/>
    <w:rsid w:val="008D58FA"/>
    <w:rsid w:val="0090314D"/>
    <w:rsid w:val="00903ADB"/>
    <w:rsid w:val="0090494F"/>
    <w:rsid w:val="00910308"/>
    <w:rsid w:val="00921CAD"/>
    <w:rsid w:val="0092253D"/>
    <w:rsid w:val="00922911"/>
    <w:rsid w:val="009267D9"/>
    <w:rsid w:val="0093164F"/>
    <w:rsid w:val="00932319"/>
    <w:rsid w:val="00932645"/>
    <w:rsid w:val="0094331E"/>
    <w:rsid w:val="0094543D"/>
    <w:rsid w:val="00945B2B"/>
    <w:rsid w:val="00952713"/>
    <w:rsid w:val="0095598F"/>
    <w:rsid w:val="00955DEE"/>
    <w:rsid w:val="009571AC"/>
    <w:rsid w:val="00960D00"/>
    <w:rsid w:val="009636CD"/>
    <w:rsid w:val="009659C7"/>
    <w:rsid w:val="009707C7"/>
    <w:rsid w:val="009755BE"/>
    <w:rsid w:val="0097651E"/>
    <w:rsid w:val="00977AF5"/>
    <w:rsid w:val="009858DF"/>
    <w:rsid w:val="009A10A9"/>
    <w:rsid w:val="009A3B5F"/>
    <w:rsid w:val="009A5E5A"/>
    <w:rsid w:val="009B5AC4"/>
    <w:rsid w:val="009D2E0F"/>
    <w:rsid w:val="009D3D52"/>
    <w:rsid w:val="009D47FE"/>
    <w:rsid w:val="009D7A8E"/>
    <w:rsid w:val="009E1197"/>
    <w:rsid w:val="009E3BC1"/>
    <w:rsid w:val="009F01B6"/>
    <w:rsid w:val="009F0E60"/>
    <w:rsid w:val="009F1D93"/>
    <w:rsid w:val="009F1FD1"/>
    <w:rsid w:val="009F22E0"/>
    <w:rsid w:val="009F2A19"/>
    <w:rsid w:val="009F6C4B"/>
    <w:rsid w:val="00A00E5B"/>
    <w:rsid w:val="00A00F41"/>
    <w:rsid w:val="00A159F8"/>
    <w:rsid w:val="00A15B75"/>
    <w:rsid w:val="00A15C35"/>
    <w:rsid w:val="00A233D5"/>
    <w:rsid w:val="00A234DA"/>
    <w:rsid w:val="00A23658"/>
    <w:rsid w:val="00A23989"/>
    <w:rsid w:val="00A25217"/>
    <w:rsid w:val="00A27D42"/>
    <w:rsid w:val="00A346D2"/>
    <w:rsid w:val="00A363E2"/>
    <w:rsid w:val="00A400C4"/>
    <w:rsid w:val="00A4169E"/>
    <w:rsid w:val="00A468C8"/>
    <w:rsid w:val="00A477E5"/>
    <w:rsid w:val="00A47863"/>
    <w:rsid w:val="00A5109A"/>
    <w:rsid w:val="00A52E0B"/>
    <w:rsid w:val="00A53EEA"/>
    <w:rsid w:val="00A53F9A"/>
    <w:rsid w:val="00A54504"/>
    <w:rsid w:val="00A630B6"/>
    <w:rsid w:val="00A63F9A"/>
    <w:rsid w:val="00A64B8F"/>
    <w:rsid w:val="00A70CEA"/>
    <w:rsid w:val="00A7306D"/>
    <w:rsid w:val="00A76246"/>
    <w:rsid w:val="00A83CAE"/>
    <w:rsid w:val="00A906BA"/>
    <w:rsid w:val="00A93108"/>
    <w:rsid w:val="00A95729"/>
    <w:rsid w:val="00AA6C6F"/>
    <w:rsid w:val="00AA73BD"/>
    <w:rsid w:val="00AB3104"/>
    <w:rsid w:val="00AB4E1D"/>
    <w:rsid w:val="00AC06F1"/>
    <w:rsid w:val="00AC241E"/>
    <w:rsid w:val="00AC2DAE"/>
    <w:rsid w:val="00AD220F"/>
    <w:rsid w:val="00AD614A"/>
    <w:rsid w:val="00AD6F29"/>
    <w:rsid w:val="00AD7622"/>
    <w:rsid w:val="00AE0292"/>
    <w:rsid w:val="00AE3D57"/>
    <w:rsid w:val="00AE4865"/>
    <w:rsid w:val="00AF0284"/>
    <w:rsid w:val="00AF07EB"/>
    <w:rsid w:val="00AF2BEA"/>
    <w:rsid w:val="00AF5F9A"/>
    <w:rsid w:val="00B02AA6"/>
    <w:rsid w:val="00B1007D"/>
    <w:rsid w:val="00B10F10"/>
    <w:rsid w:val="00B233A4"/>
    <w:rsid w:val="00B269B1"/>
    <w:rsid w:val="00B27BB6"/>
    <w:rsid w:val="00B3506E"/>
    <w:rsid w:val="00B35A6A"/>
    <w:rsid w:val="00B465D1"/>
    <w:rsid w:val="00B46FAB"/>
    <w:rsid w:val="00B50533"/>
    <w:rsid w:val="00B524A0"/>
    <w:rsid w:val="00B55955"/>
    <w:rsid w:val="00B60872"/>
    <w:rsid w:val="00B73AFC"/>
    <w:rsid w:val="00B77EFB"/>
    <w:rsid w:val="00B82AB7"/>
    <w:rsid w:val="00B83376"/>
    <w:rsid w:val="00B866D4"/>
    <w:rsid w:val="00B86A12"/>
    <w:rsid w:val="00B94421"/>
    <w:rsid w:val="00BB0010"/>
    <w:rsid w:val="00BB0F3E"/>
    <w:rsid w:val="00BB2934"/>
    <w:rsid w:val="00BB747C"/>
    <w:rsid w:val="00BC2BC1"/>
    <w:rsid w:val="00BC5579"/>
    <w:rsid w:val="00BC701F"/>
    <w:rsid w:val="00BD1755"/>
    <w:rsid w:val="00BD68B7"/>
    <w:rsid w:val="00BD753E"/>
    <w:rsid w:val="00BE2EE3"/>
    <w:rsid w:val="00BE37F4"/>
    <w:rsid w:val="00BE5A3B"/>
    <w:rsid w:val="00BF59D1"/>
    <w:rsid w:val="00C03881"/>
    <w:rsid w:val="00C11ABE"/>
    <w:rsid w:val="00C16925"/>
    <w:rsid w:val="00C20159"/>
    <w:rsid w:val="00C20945"/>
    <w:rsid w:val="00C21C70"/>
    <w:rsid w:val="00C24E4E"/>
    <w:rsid w:val="00C2570A"/>
    <w:rsid w:val="00C40C03"/>
    <w:rsid w:val="00C44DE0"/>
    <w:rsid w:val="00C45E7E"/>
    <w:rsid w:val="00C564B7"/>
    <w:rsid w:val="00C640BA"/>
    <w:rsid w:val="00C674B3"/>
    <w:rsid w:val="00C714B9"/>
    <w:rsid w:val="00C72110"/>
    <w:rsid w:val="00C74CC6"/>
    <w:rsid w:val="00C761DB"/>
    <w:rsid w:val="00C76DBC"/>
    <w:rsid w:val="00C96008"/>
    <w:rsid w:val="00CA3686"/>
    <w:rsid w:val="00CA49F8"/>
    <w:rsid w:val="00CB05EF"/>
    <w:rsid w:val="00CB4324"/>
    <w:rsid w:val="00CB7B26"/>
    <w:rsid w:val="00CD2407"/>
    <w:rsid w:val="00CD3284"/>
    <w:rsid w:val="00CD6730"/>
    <w:rsid w:val="00CE3FCE"/>
    <w:rsid w:val="00CF093D"/>
    <w:rsid w:val="00CF7391"/>
    <w:rsid w:val="00D001C4"/>
    <w:rsid w:val="00D00C71"/>
    <w:rsid w:val="00D04AFC"/>
    <w:rsid w:val="00D1426D"/>
    <w:rsid w:val="00D225B1"/>
    <w:rsid w:val="00D24CF5"/>
    <w:rsid w:val="00D270F6"/>
    <w:rsid w:val="00D347BA"/>
    <w:rsid w:val="00D34D98"/>
    <w:rsid w:val="00D353E8"/>
    <w:rsid w:val="00D356E0"/>
    <w:rsid w:val="00D41AC9"/>
    <w:rsid w:val="00D51170"/>
    <w:rsid w:val="00D52C47"/>
    <w:rsid w:val="00D5428D"/>
    <w:rsid w:val="00D56366"/>
    <w:rsid w:val="00D62C9E"/>
    <w:rsid w:val="00D71186"/>
    <w:rsid w:val="00D7762D"/>
    <w:rsid w:val="00D83B95"/>
    <w:rsid w:val="00D851F1"/>
    <w:rsid w:val="00D91993"/>
    <w:rsid w:val="00D94802"/>
    <w:rsid w:val="00D94D03"/>
    <w:rsid w:val="00D9608C"/>
    <w:rsid w:val="00DA2D69"/>
    <w:rsid w:val="00DA59A4"/>
    <w:rsid w:val="00DA5F83"/>
    <w:rsid w:val="00DB6A8F"/>
    <w:rsid w:val="00DB7450"/>
    <w:rsid w:val="00DC304B"/>
    <w:rsid w:val="00DD05B2"/>
    <w:rsid w:val="00DD05E7"/>
    <w:rsid w:val="00DD19D4"/>
    <w:rsid w:val="00DD3A37"/>
    <w:rsid w:val="00DD4DF6"/>
    <w:rsid w:val="00DD5AE6"/>
    <w:rsid w:val="00DD7A3D"/>
    <w:rsid w:val="00DD7EEE"/>
    <w:rsid w:val="00DE1C0A"/>
    <w:rsid w:val="00DE641E"/>
    <w:rsid w:val="00DE6468"/>
    <w:rsid w:val="00DF0302"/>
    <w:rsid w:val="00DF39A5"/>
    <w:rsid w:val="00DF5D6D"/>
    <w:rsid w:val="00E0256F"/>
    <w:rsid w:val="00E02FD7"/>
    <w:rsid w:val="00E05778"/>
    <w:rsid w:val="00E06A16"/>
    <w:rsid w:val="00E06B86"/>
    <w:rsid w:val="00E14EEF"/>
    <w:rsid w:val="00E25D51"/>
    <w:rsid w:val="00E35C22"/>
    <w:rsid w:val="00E43C6C"/>
    <w:rsid w:val="00E46DF3"/>
    <w:rsid w:val="00E47886"/>
    <w:rsid w:val="00E54DE2"/>
    <w:rsid w:val="00E601DF"/>
    <w:rsid w:val="00E618CE"/>
    <w:rsid w:val="00E64101"/>
    <w:rsid w:val="00E6774D"/>
    <w:rsid w:val="00E726B2"/>
    <w:rsid w:val="00E76141"/>
    <w:rsid w:val="00E76360"/>
    <w:rsid w:val="00E85225"/>
    <w:rsid w:val="00E94DFB"/>
    <w:rsid w:val="00E9502C"/>
    <w:rsid w:val="00E958EA"/>
    <w:rsid w:val="00E96600"/>
    <w:rsid w:val="00EA152B"/>
    <w:rsid w:val="00EA27D6"/>
    <w:rsid w:val="00EA73AB"/>
    <w:rsid w:val="00EB1DDC"/>
    <w:rsid w:val="00EB60AF"/>
    <w:rsid w:val="00EB761D"/>
    <w:rsid w:val="00EC26C9"/>
    <w:rsid w:val="00EC27DF"/>
    <w:rsid w:val="00EC33C4"/>
    <w:rsid w:val="00EC437C"/>
    <w:rsid w:val="00EC54FD"/>
    <w:rsid w:val="00ED01B1"/>
    <w:rsid w:val="00ED1025"/>
    <w:rsid w:val="00ED6C4B"/>
    <w:rsid w:val="00ED7FEB"/>
    <w:rsid w:val="00EE060C"/>
    <w:rsid w:val="00EE3403"/>
    <w:rsid w:val="00EE37BF"/>
    <w:rsid w:val="00EE4E25"/>
    <w:rsid w:val="00EF6541"/>
    <w:rsid w:val="00F036B7"/>
    <w:rsid w:val="00F07159"/>
    <w:rsid w:val="00F07D31"/>
    <w:rsid w:val="00F1275A"/>
    <w:rsid w:val="00F16E83"/>
    <w:rsid w:val="00F203BB"/>
    <w:rsid w:val="00F23CAB"/>
    <w:rsid w:val="00F24E1D"/>
    <w:rsid w:val="00F271AD"/>
    <w:rsid w:val="00F27558"/>
    <w:rsid w:val="00F31C5A"/>
    <w:rsid w:val="00F32D3D"/>
    <w:rsid w:val="00F346CF"/>
    <w:rsid w:val="00F3574A"/>
    <w:rsid w:val="00F357B8"/>
    <w:rsid w:val="00F358C2"/>
    <w:rsid w:val="00F35DEC"/>
    <w:rsid w:val="00F36B4D"/>
    <w:rsid w:val="00F373E5"/>
    <w:rsid w:val="00F42DF4"/>
    <w:rsid w:val="00F45F7C"/>
    <w:rsid w:val="00F56814"/>
    <w:rsid w:val="00F579C3"/>
    <w:rsid w:val="00F647FE"/>
    <w:rsid w:val="00F64FFC"/>
    <w:rsid w:val="00F718D9"/>
    <w:rsid w:val="00F72699"/>
    <w:rsid w:val="00F737C8"/>
    <w:rsid w:val="00F75892"/>
    <w:rsid w:val="00F8312F"/>
    <w:rsid w:val="00F83CC6"/>
    <w:rsid w:val="00F85A8D"/>
    <w:rsid w:val="00F92223"/>
    <w:rsid w:val="00F968B9"/>
    <w:rsid w:val="00FA2AEB"/>
    <w:rsid w:val="00FA53BE"/>
    <w:rsid w:val="00FA5814"/>
    <w:rsid w:val="00FA5A55"/>
    <w:rsid w:val="00FA652E"/>
    <w:rsid w:val="00FB2601"/>
    <w:rsid w:val="00FB3064"/>
    <w:rsid w:val="00FB35FB"/>
    <w:rsid w:val="00FB5CFC"/>
    <w:rsid w:val="00FC6057"/>
    <w:rsid w:val="00FC79D1"/>
    <w:rsid w:val="00FE24E9"/>
    <w:rsid w:val="00FE342E"/>
    <w:rsid w:val="00FE4693"/>
    <w:rsid w:val="00FF1E4C"/>
    <w:rsid w:val="00FF257D"/>
    <w:rsid w:val="00FF4E25"/>
    <w:rsid w:val="00FF5B39"/>
    <w:rsid w:val="00FF674F"/>
    <w:rsid w:val="00FF72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fill="f" fillcolor="white" stroke="f">
      <v:fill color="white" on="f"/>
      <v:stroke on="f"/>
      <v:textbox inset="0,41mm,20mm,0"/>
      <o:colormru v:ext="edit" colors="white"/>
    </o:shapedefaults>
    <o:shapelayout v:ext="edit">
      <o:idmap v:ext="edit" data="1"/>
    </o:shapelayout>
  </w:shapeDefaults>
  <w:decimalSymbol w:val=","/>
  <w:listSeparator w:val=";"/>
  <w15:docId w15:val="{EC4D0934-D6D4-40DC-803D-858D6BEA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03881"/>
    <w:pPr>
      <w:suppressAutoHyphens/>
      <w:spacing w:before="80" w:after="80" w:line="264" w:lineRule="auto"/>
    </w:pPr>
    <w:rPr>
      <w:rFonts w:ascii="Arial" w:hAnsi="Arial"/>
    </w:rPr>
  </w:style>
  <w:style w:type="paragraph" w:styleId="Nadpis1">
    <w:name w:val="heading 1"/>
    <w:basedOn w:val="Normln10"/>
    <w:next w:val="Nadpis2"/>
    <w:qFormat/>
    <w:rsid w:val="00F647FE"/>
    <w:pPr>
      <w:keepNext/>
      <w:numPr>
        <w:numId w:val="29"/>
      </w:numPr>
      <w:spacing w:before="200" w:line="240" w:lineRule="auto"/>
      <w:jc w:val="left"/>
      <w:outlineLvl w:val="0"/>
    </w:pPr>
    <w:rPr>
      <w:color w:val="0070C0"/>
      <w:sz w:val="52"/>
      <w:szCs w:val="26"/>
    </w:rPr>
  </w:style>
  <w:style w:type="paragraph" w:styleId="Nadpis2">
    <w:name w:val="heading 2"/>
    <w:basedOn w:val="Nadpis1"/>
    <w:next w:val="Normln10"/>
    <w:link w:val="Nadpis2Char"/>
    <w:qFormat/>
    <w:rsid w:val="00F647FE"/>
    <w:pPr>
      <w:numPr>
        <w:ilvl w:val="1"/>
      </w:numPr>
      <w:outlineLvl w:val="1"/>
    </w:pPr>
    <w:rPr>
      <w:sz w:val="30"/>
      <w:szCs w:val="24"/>
    </w:rPr>
  </w:style>
  <w:style w:type="paragraph" w:styleId="Nadpis3">
    <w:name w:val="heading 3"/>
    <w:basedOn w:val="Nadpis1"/>
    <w:next w:val="Normln10"/>
    <w:link w:val="Nadpis3Char"/>
    <w:qFormat/>
    <w:rsid w:val="00F647FE"/>
    <w:pPr>
      <w:numPr>
        <w:ilvl w:val="2"/>
      </w:numPr>
      <w:outlineLvl w:val="2"/>
    </w:pPr>
    <w:rPr>
      <w:sz w:val="26"/>
    </w:rPr>
  </w:style>
  <w:style w:type="paragraph" w:styleId="Nadpis4">
    <w:name w:val="heading 4"/>
    <w:basedOn w:val="Nadpis1"/>
    <w:next w:val="Normln10"/>
    <w:link w:val="Nadpis4Char"/>
    <w:qFormat/>
    <w:rsid w:val="00F647FE"/>
    <w:pPr>
      <w:numPr>
        <w:ilvl w:val="3"/>
      </w:numPr>
      <w:outlineLvl w:val="3"/>
    </w:pPr>
    <w:rPr>
      <w:sz w:val="22"/>
      <w:szCs w:val="22"/>
    </w:rPr>
  </w:style>
  <w:style w:type="paragraph" w:styleId="Nadpis5">
    <w:name w:val="heading 5"/>
    <w:basedOn w:val="Normln"/>
    <w:next w:val="Normln"/>
    <w:qFormat/>
    <w:rsid w:val="00014B38"/>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0">
    <w:name w:val="Normální 10"/>
    <w:rsid w:val="00A363E2"/>
    <w:pPr>
      <w:suppressAutoHyphens/>
      <w:spacing w:before="120" w:after="120" w:line="288" w:lineRule="auto"/>
      <w:jc w:val="both"/>
    </w:pPr>
    <w:rPr>
      <w:rFonts w:ascii="Arial" w:hAnsi="Arial"/>
      <w:color w:val="000000"/>
    </w:rPr>
  </w:style>
  <w:style w:type="paragraph" w:styleId="Textmakra">
    <w:name w:val="macro"/>
    <w:semiHidden/>
    <w:rsid w:val="00014B38"/>
    <w:pPr>
      <w:tabs>
        <w:tab w:val="left" w:pos="480"/>
        <w:tab w:val="left" w:pos="960"/>
        <w:tab w:val="left" w:pos="1440"/>
        <w:tab w:val="left" w:pos="1920"/>
        <w:tab w:val="left" w:pos="2400"/>
        <w:tab w:val="left" w:pos="2880"/>
        <w:tab w:val="left" w:pos="3360"/>
        <w:tab w:val="left" w:pos="3840"/>
        <w:tab w:val="left" w:pos="4320"/>
      </w:tabs>
      <w:suppressAutoHyphens/>
      <w:spacing w:before="160" w:line="288" w:lineRule="auto"/>
    </w:pPr>
    <w:rPr>
      <w:rFonts w:ascii="Courier New" w:hAnsi="Courier New"/>
    </w:rPr>
  </w:style>
  <w:style w:type="paragraph" w:styleId="Textkomente">
    <w:name w:val="annotation text"/>
    <w:basedOn w:val="Normln"/>
    <w:next w:val="Normln10"/>
    <w:link w:val="TextkomenteChar1"/>
    <w:semiHidden/>
    <w:rsid w:val="00C74CC6"/>
    <w:pPr>
      <w:numPr>
        <w:numId w:val="4"/>
      </w:numPr>
      <w:tabs>
        <w:tab w:val="clear" w:pos="1247"/>
        <w:tab w:val="left" w:pos="1077"/>
      </w:tabs>
      <w:spacing w:before="300" w:after="100" w:line="288" w:lineRule="auto"/>
      <w:ind w:left="1077" w:hanging="1077"/>
      <w:jc w:val="both"/>
    </w:pPr>
  </w:style>
  <w:style w:type="character" w:styleId="Odkaznakoment">
    <w:name w:val="annotation reference"/>
    <w:basedOn w:val="Standardnpsmoodstavce"/>
    <w:semiHidden/>
    <w:rsid w:val="00014B38"/>
    <w:rPr>
      <w:sz w:val="16"/>
    </w:rPr>
  </w:style>
  <w:style w:type="paragraph" w:styleId="Zhlav">
    <w:name w:val="header"/>
    <w:basedOn w:val="Normln10"/>
    <w:semiHidden/>
    <w:rsid w:val="00014B38"/>
    <w:pPr>
      <w:tabs>
        <w:tab w:val="center" w:pos="4536"/>
      </w:tabs>
      <w:jc w:val="left"/>
    </w:pPr>
  </w:style>
  <w:style w:type="paragraph" w:styleId="Zpat">
    <w:name w:val="footer"/>
    <w:basedOn w:val="Normln10"/>
    <w:semiHidden/>
    <w:rsid w:val="00014B38"/>
    <w:pPr>
      <w:jc w:val="left"/>
    </w:pPr>
  </w:style>
  <w:style w:type="paragraph" w:customStyle="1" w:styleId="Pododrka">
    <w:name w:val="Pododrážka"/>
    <w:basedOn w:val="Odrka-"/>
    <w:rsid w:val="00D94D03"/>
    <w:pPr>
      <w:numPr>
        <w:numId w:val="2"/>
      </w:numPr>
      <w:spacing w:before="100"/>
    </w:pPr>
  </w:style>
  <w:style w:type="paragraph" w:customStyle="1" w:styleId="Odrka">
    <w:name w:val="Odrážka ■"/>
    <w:basedOn w:val="Normln10"/>
    <w:rsid w:val="00D94D03"/>
    <w:pPr>
      <w:numPr>
        <w:numId w:val="1"/>
      </w:numPr>
    </w:pPr>
  </w:style>
  <w:style w:type="paragraph" w:customStyle="1" w:styleId="Odrka-">
    <w:name w:val="Odrážka -"/>
    <w:basedOn w:val="Normln10"/>
    <w:rsid w:val="00584010"/>
    <w:pPr>
      <w:numPr>
        <w:numId w:val="3"/>
      </w:numPr>
      <w:tabs>
        <w:tab w:val="clear" w:pos="680"/>
      </w:tabs>
      <w:ind w:left="227" w:hanging="227"/>
    </w:pPr>
  </w:style>
  <w:style w:type="paragraph" w:styleId="Titulek">
    <w:name w:val="caption"/>
    <w:basedOn w:val="Normln"/>
    <w:next w:val="Normln"/>
    <w:qFormat/>
    <w:rsid w:val="0093164F"/>
    <w:pPr>
      <w:tabs>
        <w:tab w:val="left" w:pos="1418"/>
      </w:tabs>
      <w:spacing w:before="300" w:after="120" w:line="288" w:lineRule="auto"/>
      <w:ind w:left="1418" w:hanging="1418"/>
    </w:pPr>
    <w:rPr>
      <w:b/>
      <w:bCs/>
    </w:rPr>
  </w:style>
  <w:style w:type="paragraph" w:customStyle="1" w:styleId="Nadpis">
    <w:name w:val="Nadpis"/>
    <w:basedOn w:val="Normln10"/>
    <w:next w:val="Normln10"/>
    <w:rsid w:val="003908FF"/>
    <w:pPr>
      <w:spacing w:before="200"/>
      <w:jc w:val="left"/>
    </w:pPr>
    <w:rPr>
      <w:color w:val="0070C0"/>
      <w:sz w:val="24"/>
    </w:rPr>
  </w:style>
  <w:style w:type="paragraph" w:customStyle="1" w:styleId="Seznam10">
    <w:name w:val="Seznam /1/"/>
    <w:basedOn w:val="Normln10"/>
    <w:rsid w:val="00ED7FEB"/>
    <w:pPr>
      <w:numPr>
        <w:numId w:val="7"/>
      </w:numPr>
    </w:pPr>
  </w:style>
  <w:style w:type="paragraph" w:customStyle="1" w:styleId="Nadpisvtextu">
    <w:name w:val="Nadpis v textu"/>
    <w:basedOn w:val="Normln10"/>
    <w:next w:val="Normln10"/>
    <w:rsid w:val="00BD1755"/>
    <w:pPr>
      <w:spacing w:before="200"/>
      <w:jc w:val="left"/>
    </w:pPr>
    <w:rPr>
      <w:b/>
    </w:rPr>
  </w:style>
  <w:style w:type="character" w:customStyle="1" w:styleId="Normln10Char">
    <w:name w:val="Normální 10 Char"/>
    <w:basedOn w:val="Standardnpsmoodstavce"/>
    <w:rsid w:val="00A70CEA"/>
    <w:rPr>
      <w:rFonts w:ascii="Arial" w:hAnsi="Arial"/>
      <w:sz w:val="20"/>
      <w:lang w:val="cs-CZ" w:eastAsia="cs-CZ" w:bidi="ar-SA"/>
    </w:rPr>
  </w:style>
  <w:style w:type="paragraph" w:customStyle="1" w:styleId="Seznam11">
    <w:name w:val="Seznam 1."/>
    <w:basedOn w:val="Normln10"/>
    <w:rsid w:val="00F27558"/>
    <w:pPr>
      <w:numPr>
        <w:numId w:val="32"/>
      </w:numPr>
    </w:pPr>
  </w:style>
  <w:style w:type="paragraph" w:customStyle="1" w:styleId="Odstavecodrky">
    <w:name w:val="Odstavec odrážky"/>
    <w:basedOn w:val="Normln10"/>
    <w:rsid w:val="00D94D03"/>
    <w:pPr>
      <w:ind w:left="227"/>
    </w:pPr>
  </w:style>
  <w:style w:type="character" w:customStyle="1" w:styleId="Nadpis1Char">
    <w:name w:val="Nadpis 1 Char"/>
    <w:basedOn w:val="Normln10Char"/>
    <w:rsid w:val="00B82AB7"/>
    <w:rPr>
      <w:rFonts w:ascii="Arial" w:hAnsi="Arial"/>
      <w:dstrike w:val="0"/>
      <w:color w:val="0070C0"/>
      <w:sz w:val="32"/>
      <w:szCs w:val="26"/>
      <w:u w:val="none"/>
      <w:vertAlign w:val="baseline"/>
      <w:lang w:val="cs-CZ" w:eastAsia="cs-CZ" w:bidi="ar-SA"/>
    </w:rPr>
  </w:style>
  <w:style w:type="paragraph" w:styleId="Textbubliny">
    <w:name w:val="Balloon Text"/>
    <w:basedOn w:val="Normln"/>
    <w:semiHidden/>
    <w:rsid w:val="00014B38"/>
    <w:rPr>
      <w:rFonts w:ascii="Tahoma" w:hAnsi="Tahoma" w:cs="Tahoma"/>
      <w:sz w:val="16"/>
      <w:szCs w:val="16"/>
    </w:rPr>
  </w:style>
  <w:style w:type="paragraph" w:customStyle="1" w:styleId="Seznam1">
    <w:name w:val="Seznam 1)"/>
    <w:basedOn w:val="Normln10"/>
    <w:rsid w:val="00F27558"/>
    <w:pPr>
      <w:numPr>
        <w:numId w:val="6"/>
      </w:numPr>
    </w:pPr>
  </w:style>
  <w:style w:type="paragraph" w:styleId="Nzev">
    <w:name w:val="Title"/>
    <w:basedOn w:val="Normln"/>
    <w:next w:val="Normln"/>
    <w:qFormat/>
    <w:rsid w:val="00014B38"/>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rsid w:val="00014B38"/>
    <w:rPr>
      <w:rFonts w:ascii="Cambria" w:eastAsia="Times New Roman" w:hAnsi="Cambria" w:cs="Times New Roman"/>
      <w:b/>
      <w:bCs/>
      <w:kern w:val="28"/>
      <w:sz w:val="32"/>
      <w:szCs w:val="32"/>
    </w:rPr>
  </w:style>
  <w:style w:type="character" w:styleId="Zstupntext">
    <w:name w:val="Placeholder Text"/>
    <w:basedOn w:val="Standardnpsmoodstavce"/>
    <w:uiPriority w:val="99"/>
    <w:semiHidden/>
    <w:rsid w:val="00014B38"/>
    <w:rPr>
      <w:color w:val="808080"/>
    </w:rPr>
  </w:style>
  <w:style w:type="paragraph" w:styleId="Obsah2">
    <w:name w:val="toc 2"/>
    <w:basedOn w:val="Normln"/>
    <w:next w:val="Normln"/>
    <w:autoRedefine/>
    <w:uiPriority w:val="39"/>
    <w:unhideWhenUsed/>
    <w:rsid w:val="00427737"/>
    <w:pPr>
      <w:tabs>
        <w:tab w:val="left" w:pos="1871"/>
        <w:tab w:val="right" w:pos="8834"/>
      </w:tabs>
      <w:spacing w:before="100" w:after="100" w:line="288" w:lineRule="auto"/>
      <w:ind w:left="1134" w:hanging="680"/>
    </w:pPr>
    <w:rPr>
      <w:color w:val="595959"/>
      <w:sz w:val="24"/>
    </w:rPr>
  </w:style>
  <w:style w:type="paragraph" w:styleId="Obsah3">
    <w:name w:val="toc 3"/>
    <w:basedOn w:val="Normln"/>
    <w:next w:val="Normln"/>
    <w:autoRedefine/>
    <w:uiPriority w:val="39"/>
    <w:unhideWhenUsed/>
    <w:rsid w:val="00427737"/>
    <w:pPr>
      <w:tabs>
        <w:tab w:val="left" w:pos="1531"/>
        <w:tab w:val="right" w:pos="8834"/>
      </w:tabs>
      <w:spacing w:before="100" w:after="100" w:line="288" w:lineRule="auto"/>
      <w:ind w:left="1871" w:hanging="737"/>
    </w:pPr>
    <w:rPr>
      <w:color w:val="595959"/>
    </w:rPr>
  </w:style>
  <w:style w:type="paragraph" w:styleId="Obsah4">
    <w:name w:val="toc 4"/>
    <w:basedOn w:val="Normln"/>
    <w:next w:val="Normln"/>
    <w:autoRedefine/>
    <w:uiPriority w:val="39"/>
    <w:unhideWhenUsed/>
    <w:rsid w:val="00427737"/>
    <w:pPr>
      <w:tabs>
        <w:tab w:val="left" w:pos="1814"/>
        <w:tab w:val="right" w:pos="8834"/>
      </w:tabs>
      <w:spacing w:before="100" w:after="100" w:line="288" w:lineRule="auto"/>
      <w:ind w:left="2835" w:hanging="964"/>
    </w:pPr>
    <w:rPr>
      <w:color w:val="595959"/>
    </w:rPr>
  </w:style>
  <w:style w:type="paragraph" w:styleId="Obsah1">
    <w:name w:val="toc 1"/>
    <w:basedOn w:val="Normln"/>
    <w:next w:val="Normln"/>
    <w:autoRedefine/>
    <w:uiPriority w:val="39"/>
    <w:unhideWhenUsed/>
    <w:rsid w:val="00427737"/>
    <w:pPr>
      <w:tabs>
        <w:tab w:val="right" w:pos="8834"/>
      </w:tabs>
      <w:spacing w:before="200" w:after="100" w:line="288" w:lineRule="auto"/>
      <w:ind w:left="454" w:hanging="454"/>
    </w:pPr>
    <w:rPr>
      <w:sz w:val="24"/>
    </w:rPr>
  </w:style>
  <w:style w:type="paragraph" w:styleId="Textpoznpodarou">
    <w:name w:val="footnote text"/>
    <w:basedOn w:val="Normln"/>
    <w:unhideWhenUsed/>
    <w:rsid w:val="009E1197"/>
    <w:pPr>
      <w:spacing w:before="0" w:after="100" w:line="240" w:lineRule="auto"/>
      <w:ind w:left="113" w:hanging="113"/>
      <w:jc w:val="both"/>
    </w:pPr>
    <w:rPr>
      <w:sz w:val="16"/>
    </w:rPr>
  </w:style>
  <w:style w:type="character" w:customStyle="1" w:styleId="TextkomenteChar">
    <w:name w:val="Text komentáře Char"/>
    <w:basedOn w:val="Standardnpsmoodstavce"/>
    <w:semiHidden/>
    <w:rsid w:val="00014B38"/>
    <w:rPr>
      <w:rFonts w:ascii="Arial" w:hAnsi="Arial"/>
      <w:sz w:val="18"/>
    </w:rPr>
  </w:style>
  <w:style w:type="character" w:customStyle="1" w:styleId="TextpoznpodarouChar">
    <w:name w:val="Text pozn. pod čarou Char"/>
    <w:basedOn w:val="Standardnpsmoodstavce"/>
    <w:rsid w:val="00014B38"/>
    <w:rPr>
      <w:rFonts w:ascii="Arial" w:hAnsi="Arial"/>
      <w:sz w:val="16"/>
    </w:rPr>
  </w:style>
  <w:style w:type="character" w:styleId="Znakapoznpodarou">
    <w:name w:val="footnote reference"/>
    <w:basedOn w:val="Standardnpsmoodstavce"/>
    <w:semiHidden/>
    <w:unhideWhenUsed/>
    <w:rsid w:val="00014B38"/>
    <w:rPr>
      <w:vertAlign w:val="superscript"/>
    </w:rPr>
  </w:style>
  <w:style w:type="character" w:customStyle="1" w:styleId="Nadpis5Char">
    <w:name w:val="Nadpis 5 Char"/>
    <w:basedOn w:val="Standardnpsmoodstavce"/>
    <w:rsid w:val="00014B38"/>
    <w:rPr>
      <w:rFonts w:ascii="Calibri" w:eastAsia="Times New Roman" w:hAnsi="Calibri" w:cs="Times New Roman"/>
      <w:b/>
      <w:bCs/>
      <w:i/>
      <w:iCs/>
      <w:sz w:val="26"/>
      <w:szCs w:val="26"/>
    </w:rPr>
  </w:style>
  <w:style w:type="paragraph" w:styleId="Seznamobrzk">
    <w:name w:val="table of figures"/>
    <w:basedOn w:val="Normln"/>
    <w:next w:val="Normln"/>
    <w:semiHidden/>
    <w:unhideWhenUsed/>
    <w:rsid w:val="00C74CC6"/>
    <w:pPr>
      <w:spacing w:before="200" w:after="100" w:line="288" w:lineRule="auto"/>
    </w:pPr>
  </w:style>
  <w:style w:type="character" w:styleId="Hypertextovodkaz">
    <w:name w:val="Hyperlink"/>
    <w:basedOn w:val="Standardnpsmoodstavce"/>
    <w:uiPriority w:val="99"/>
    <w:unhideWhenUsed/>
    <w:rsid w:val="00A5109A"/>
    <w:rPr>
      <w:rFonts w:ascii="Arial" w:hAnsi="Arial"/>
      <w:dstrike w:val="0"/>
      <w:color w:val="0070C0"/>
      <w:sz w:val="20"/>
      <w:u w:val="none"/>
      <w:vertAlign w:val="baseline"/>
    </w:rPr>
  </w:style>
  <w:style w:type="paragraph" w:styleId="Nadpisobsahu">
    <w:name w:val="TOC Heading"/>
    <w:basedOn w:val="Nadpis1"/>
    <w:next w:val="Normln"/>
    <w:qFormat/>
    <w:rsid w:val="00014B38"/>
    <w:pPr>
      <w:numPr>
        <w:numId w:val="0"/>
      </w:numPr>
      <w:pBdr>
        <w:bottom w:val="single" w:sz="8" w:space="1" w:color="0070C0"/>
      </w:pBdr>
      <w:spacing w:before="1000" w:after="600"/>
      <w:outlineLvl w:val="9"/>
    </w:pPr>
    <w:rPr>
      <w:bCs/>
      <w:kern w:val="32"/>
      <w:szCs w:val="32"/>
    </w:rPr>
  </w:style>
  <w:style w:type="paragraph" w:styleId="Textvbloku">
    <w:name w:val="Block Text"/>
    <w:basedOn w:val="Normln"/>
    <w:semiHidden/>
    <w:unhideWhenUsed/>
    <w:rsid w:val="00014B38"/>
    <w:pPr>
      <w:spacing w:after="120"/>
      <w:ind w:left="1440" w:right="1440"/>
    </w:pPr>
  </w:style>
  <w:style w:type="paragraph" w:styleId="AdresaHTML">
    <w:name w:val="HTML Address"/>
    <w:basedOn w:val="Normln"/>
    <w:semiHidden/>
    <w:unhideWhenUsed/>
    <w:rsid w:val="00347D2E"/>
    <w:pPr>
      <w:spacing w:before="200" w:after="0" w:line="288" w:lineRule="auto"/>
    </w:pPr>
    <w:rPr>
      <w:iCs/>
      <w:color w:val="0070C0"/>
    </w:rPr>
  </w:style>
  <w:style w:type="character" w:customStyle="1" w:styleId="AdresaHTMLChar">
    <w:name w:val="Adresa HTML Char"/>
    <w:basedOn w:val="Standardnpsmoodstavce"/>
    <w:semiHidden/>
    <w:rsid w:val="00207066"/>
    <w:rPr>
      <w:rFonts w:ascii="Arial" w:hAnsi="Arial"/>
      <w:iCs/>
      <w:dstrike w:val="0"/>
      <w:color w:val="0070C0"/>
      <w:sz w:val="20"/>
      <w:u w:val="none"/>
      <w:vertAlign w:val="baseline"/>
    </w:rPr>
  </w:style>
  <w:style w:type="paragraph" w:styleId="Citt">
    <w:name w:val="Quote"/>
    <w:basedOn w:val="Normln"/>
    <w:next w:val="Normln"/>
    <w:qFormat/>
    <w:rsid w:val="00FF1E4C"/>
    <w:pPr>
      <w:spacing w:before="100" w:after="100" w:line="276" w:lineRule="auto"/>
      <w:jc w:val="both"/>
    </w:pPr>
    <w:rPr>
      <w:i/>
      <w:iCs/>
      <w:color w:val="000000"/>
    </w:rPr>
  </w:style>
  <w:style w:type="character" w:customStyle="1" w:styleId="CitaceChar">
    <w:name w:val="Citace Char"/>
    <w:basedOn w:val="Standardnpsmoodstavce"/>
    <w:rsid w:val="00014B38"/>
    <w:rPr>
      <w:rFonts w:ascii="Arial" w:hAnsi="Arial"/>
      <w:i/>
      <w:iCs/>
      <w:color w:val="000000"/>
    </w:rPr>
  </w:style>
  <w:style w:type="character" w:styleId="slostrnky">
    <w:name w:val="page number"/>
    <w:basedOn w:val="Standardnpsmoodstavce"/>
    <w:unhideWhenUsed/>
    <w:rsid w:val="00207066"/>
    <w:rPr>
      <w:rFonts w:ascii="Arial" w:hAnsi="Arial"/>
      <w:dstrike w:val="0"/>
      <w:color w:val="0070C0"/>
      <w:sz w:val="20"/>
      <w:u w:val="none"/>
      <w:vertAlign w:val="baseline"/>
    </w:rPr>
  </w:style>
  <w:style w:type="paragraph" w:styleId="Nadpispoznmky">
    <w:name w:val="Note Heading"/>
    <w:basedOn w:val="Normln"/>
    <w:next w:val="Normln"/>
    <w:semiHidden/>
    <w:unhideWhenUsed/>
    <w:rsid w:val="00014B38"/>
  </w:style>
  <w:style w:type="character" w:customStyle="1" w:styleId="NadpispoznmkyChar">
    <w:name w:val="Nadpis poznámky Char"/>
    <w:basedOn w:val="Standardnpsmoodstavce"/>
    <w:rsid w:val="00014B38"/>
    <w:rPr>
      <w:rFonts w:ascii="Arial" w:hAnsi="Arial"/>
    </w:rPr>
  </w:style>
  <w:style w:type="paragraph" w:styleId="Seznam">
    <w:name w:val="List"/>
    <w:basedOn w:val="Normln"/>
    <w:semiHidden/>
    <w:unhideWhenUsed/>
    <w:rsid w:val="00FF1E4C"/>
    <w:pPr>
      <w:spacing w:before="200" w:after="100" w:line="276" w:lineRule="auto"/>
      <w:ind w:left="397"/>
      <w:contextualSpacing/>
    </w:pPr>
  </w:style>
  <w:style w:type="paragraph" w:styleId="Seznam2">
    <w:name w:val="List 2"/>
    <w:basedOn w:val="Normln"/>
    <w:unhideWhenUsed/>
    <w:rsid w:val="00014B38"/>
    <w:pPr>
      <w:ind w:left="566" w:hanging="283"/>
      <w:contextualSpacing/>
    </w:pPr>
  </w:style>
  <w:style w:type="paragraph" w:styleId="Seznamcitac">
    <w:name w:val="table of authorities"/>
    <w:basedOn w:val="Normln"/>
    <w:next w:val="Normln"/>
    <w:semiHidden/>
    <w:unhideWhenUsed/>
    <w:rsid w:val="00FF1E4C"/>
    <w:pPr>
      <w:spacing w:before="200" w:after="100" w:line="276" w:lineRule="auto"/>
    </w:pPr>
  </w:style>
  <w:style w:type="paragraph" w:customStyle="1" w:styleId="Odrkao">
    <w:name w:val="Odrážka o"/>
    <w:basedOn w:val="Normln10"/>
    <w:rsid w:val="00584010"/>
    <w:pPr>
      <w:numPr>
        <w:numId w:val="19"/>
      </w:numPr>
      <w:ind w:left="227" w:hanging="227"/>
    </w:pPr>
  </w:style>
  <w:style w:type="paragraph" w:customStyle="1" w:styleId="Textpoznmky">
    <w:name w:val="Text poznámky"/>
    <w:basedOn w:val="Normln10"/>
    <w:qFormat/>
    <w:rsid w:val="00C74CC6"/>
    <w:pPr>
      <w:numPr>
        <w:numId w:val="21"/>
      </w:numPr>
      <w:ind w:left="992" w:hanging="992"/>
    </w:pPr>
  </w:style>
  <w:style w:type="character" w:customStyle="1" w:styleId="TextkomenteChar1">
    <w:name w:val="Text komentáře Char1"/>
    <w:basedOn w:val="Standardnpsmoodstavce"/>
    <w:link w:val="Textkomente"/>
    <w:semiHidden/>
    <w:rsid w:val="00C74CC6"/>
    <w:rPr>
      <w:rFonts w:ascii="Arial" w:hAnsi="Arial"/>
      <w:sz w:val="18"/>
    </w:rPr>
  </w:style>
  <w:style w:type="paragraph" w:styleId="Vrazncitt">
    <w:name w:val="Intense Quote"/>
    <w:basedOn w:val="Normln"/>
    <w:next w:val="Normln"/>
    <w:link w:val="VrazncittChar"/>
    <w:uiPriority w:val="30"/>
    <w:qFormat/>
    <w:rsid w:val="00C74CC6"/>
    <w:pPr>
      <w:pBdr>
        <w:bottom w:val="single" w:sz="4" w:space="4" w:color="4F81BD" w:themeColor="accent1"/>
      </w:pBdr>
      <w:spacing w:before="200" w:after="280" w:line="288" w:lineRule="auto"/>
      <w:ind w:left="936" w:right="936"/>
    </w:pPr>
    <w:rPr>
      <w:b/>
      <w:bCs/>
      <w:i/>
      <w:iCs/>
      <w:color w:val="0070C0"/>
    </w:rPr>
  </w:style>
  <w:style w:type="character" w:customStyle="1" w:styleId="VrazncittChar">
    <w:name w:val="Výrazný citát Char"/>
    <w:basedOn w:val="Standardnpsmoodstavce"/>
    <w:link w:val="Vrazncitt"/>
    <w:uiPriority w:val="30"/>
    <w:rsid w:val="00C74CC6"/>
    <w:rPr>
      <w:rFonts w:ascii="Arial" w:hAnsi="Arial"/>
      <w:b/>
      <w:bCs/>
      <w:i/>
      <w:iCs/>
      <w:color w:val="0070C0"/>
    </w:rPr>
  </w:style>
  <w:style w:type="paragraph" w:styleId="Datum">
    <w:name w:val="Date"/>
    <w:basedOn w:val="Normln"/>
    <w:next w:val="Normln"/>
    <w:link w:val="DatumChar"/>
    <w:uiPriority w:val="99"/>
    <w:semiHidden/>
    <w:unhideWhenUsed/>
    <w:rsid w:val="00FF1E4C"/>
    <w:pPr>
      <w:spacing w:line="276" w:lineRule="auto"/>
    </w:pPr>
  </w:style>
  <w:style w:type="character" w:customStyle="1" w:styleId="DatumChar">
    <w:name w:val="Datum Char"/>
    <w:basedOn w:val="Standardnpsmoodstavce"/>
    <w:link w:val="Datum"/>
    <w:uiPriority w:val="99"/>
    <w:semiHidden/>
    <w:rsid w:val="00FF1E4C"/>
    <w:rPr>
      <w:rFonts w:ascii="Arial" w:hAnsi="Arial"/>
    </w:rPr>
  </w:style>
  <w:style w:type="paragraph" w:styleId="Odstavecseseznamem">
    <w:name w:val="List Paragraph"/>
    <w:basedOn w:val="Normln"/>
    <w:uiPriority w:val="34"/>
    <w:qFormat/>
    <w:rsid w:val="00FF1E4C"/>
    <w:pPr>
      <w:spacing w:line="276" w:lineRule="auto"/>
      <w:ind w:left="720"/>
      <w:contextualSpacing/>
    </w:pPr>
  </w:style>
  <w:style w:type="paragraph" w:styleId="Rejstk1">
    <w:name w:val="index 1"/>
    <w:basedOn w:val="Normln"/>
    <w:next w:val="Normln"/>
    <w:autoRedefine/>
    <w:uiPriority w:val="99"/>
    <w:semiHidden/>
    <w:unhideWhenUsed/>
    <w:rsid w:val="00FF1E4C"/>
    <w:pPr>
      <w:spacing w:before="0" w:after="0" w:line="276" w:lineRule="auto"/>
      <w:ind w:left="198" w:hanging="198"/>
    </w:pPr>
  </w:style>
  <w:style w:type="paragraph" w:styleId="Rejstk2">
    <w:name w:val="index 2"/>
    <w:basedOn w:val="Normln"/>
    <w:next w:val="Normln"/>
    <w:autoRedefine/>
    <w:uiPriority w:val="99"/>
    <w:semiHidden/>
    <w:unhideWhenUsed/>
    <w:rsid w:val="00FF1E4C"/>
    <w:pPr>
      <w:spacing w:before="0" w:after="0" w:line="276" w:lineRule="auto"/>
      <w:ind w:left="396" w:hanging="198"/>
    </w:pPr>
  </w:style>
  <w:style w:type="paragraph" w:styleId="Rejstk3">
    <w:name w:val="index 3"/>
    <w:basedOn w:val="Normln"/>
    <w:next w:val="Normln"/>
    <w:autoRedefine/>
    <w:uiPriority w:val="99"/>
    <w:semiHidden/>
    <w:unhideWhenUsed/>
    <w:rsid w:val="00FF1E4C"/>
    <w:pPr>
      <w:spacing w:before="0" w:after="0" w:line="276" w:lineRule="auto"/>
      <w:ind w:left="601" w:hanging="198"/>
    </w:pPr>
  </w:style>
  <w:style w:type="paragraph" w:styleId="Rejstk4">
    <w:name w:val="index 4"/>
    <w:basedOn w:val="Normln"/>
    <w:next w:val="Normln"/>
    <w:autoRedefine/>
    <w:uiPriority w:val="99"/>
    <w:semiHidden/>
    <w:unhideWhenUsed/>
    <w:rsid w:val="00FF1E4C"/>
    <w:pPr>
      <w:spacing w:before="0" w:after="0" w:line="276" w:lineRule="auto"/>
      <w:ind w:left="799" w:hanging="198"/>
    </w:pPr>
  </w:style>
  <w:style w:type="numbering" w:customStyle="1" w:styleId="Styl1">
    <w:name w:val="Styl1"/>
    <w:uiPriority w:val="99"/>
    <w:rsid w:val="00E06A16"/>
    <w:pPr>
      <w:numPr>
        <w:numId w:val="24"/>
      </w:numPr>
    </w:pPr>
  </w:style>
  <w:style w:type="numbering" w:customStyle="1" w:styleId="Styl2">
    <w:name w:val="Styl2"/>
    <w:uiPriority w:val="99"/>
    <w:rsid w:val="00E06A16"/>
    <w:pPr>
      <w:numPr>
        <w:numId w:val="25"/>
      </w:numPr>
    </w:pPr>
  </w:style>
  <w:style w:type="numbering" w:customStyle="1" w:styleId="Styl3">
    <w:name w:val="Styl3"/>
    <w:uiPriority w:val="99"/>
    <w:rsid w:val="00E06A16"/>
    <w:pPr>
      <w:numPr>
        <w:numId w:val="26"/>
      </w:numPr>
    </w:pPr>
  </w:style>
  <w:style w:type="paragraph" w:styleId="Pedmtkomente">
    <w:name w:val="annotation subject"/>
    <w:basedOn w:val="Textkomente"/>
    <w:next w:val="Textkomente"/>
    <w:link w:val="PedmtkomenteChar"/>
    <w:uiPriority w:val="99"/>
    <w:unhideWhenUsed/>
    <w:rsid w:val="00C74CC6"/>
    <w:pPr>
      <w:numPr>
        <w:numId w:val="0"/>
      </w:numPr>
      <w:tabs>
        <w:tab w:val="clear" w:pos="1077"/>
      </w:tabs>
      <w:spacing w:before="80" w:after="80"/>
      <w:jc w:val="left"/>
    </w:pPr>
    <w:rPr>
      <w:bCs/>
    </w:rPr>
  </w:style>
  <w:style w:type="character" w:customStyle="1" w:styleId="PedmtkomenteChar">
    <w:name w:val="Předmět komentáře Char"/>
    <w:basedOn w:val="TextkomenteChar1"/>
    <w:link w:val="Pedmtkomente"/>
    <w:uiPriority w:val="99"/>
    <w:rsid w:val="00C74CC6"/>
    <w:rPr>
      <w:rFonts w:ascii="Arial" w:hAnsi="Arial"/>
      <w:bCs/>
      <w:sz w:val="18"/>
    </w:rPr>
  </w:style>
  <w:style w:type="paragraph" w:styleId="Normlnodsazen">
    <w:name w:val="Normal Indent"/>
    <w:basedOn w:val="Normln"/>
    <w:uiPriority w:val="99"/>
    <w:unhideWhenUsed/>
    <w:rsid w:val="00B82AB7"/>
    <w:pPr>
      <w:ind w:left="708"/>
    </w:pPr>
  </w:style>
  <w:style w:type="table" w:styleId="Mkatabulky">
    <w:name w:val="Table Grid"/>
    <w:basedOn w:val="Normlntabulka"/>
    <w:uiPriority w:val="59"/>
    <w:rsid w:val="003A2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F647FE"/>
    <w:rPr>
      <w:rFonts w:ascii="Arial" w:hAnsi="Arial"/>
      <w:color w:val="0070C0"/>
      <w:sz w:val="30"/>
      <w:szCs w:val="24"/>
    </w:rPr>
  </w:style>
  <w:style w:type="character" w:customStyle="1" w:styleId="Nadpis3Char">
    <w:name w:val="Nadpis 3 Char"/>
    <w:basedOn w:val="Standardnpsmoodstavce"/>
    <w:link w:val="Nadpis3"/>
    <w:rsid w:val="00F647FE"/>
    <w:rPr>
      <w:rFonts w:ascii="Arial" w:hAnsi="Arial"/>
      <w:color w:val="0070C0"/>
      <w:sz w:val="26"/>
      <w:szCs w:val="26"/>
    </w:rPr>
  </w:style>
  <w:style w:type="character" w:customStyle="1" w:styleId="Nadpis4Char">
    <w:name w:val="Nadpis 4 Char"/>
    <w:basedOn w:val="Standardnpsmoodstavce"/>
    <w:link w:val="Nadpis4"/>
    <w:rsid w:val="00F647FE"/>
    <w:rPr>
      <w:rFonts w:ascii="Arial" w:hAnsi="Arial"/>
      <w:color w:val="0070C0"/>
      <w:sz w:val="22"/>
      <w:szCs w:val="22"/>
    </w:rPr>
  </w:style>
  <w:style w:type="character" w:styleId="Zdraznnintenzivn">
    <w:name w:val="Intense Emphasis"/>
    <w:basedOn w:val="Standardnpsmoodstavce"/>
    <w:uiPriority w:val="21"/>
    <w:qFormat/>
    <w:rsid w:val="00482E8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1526">
      <w:bodyDiv w:val="1"/>
      <w:marLeft w:val="0"/>
      <w:marRight w:val="0"/>
      <w:marTop w:val="0"/>
      <w:marBottom w:val="0"/>
      <w:divBdr>
        <w:top w:val="none" w:sz="0" w:space="0" w:color="auto"/>
        <w:left w:val="none" w:sz="0" w:space="0" w:color="auto"/>
        <w:bottom w:val="none" w:sz="0" w:space="0" w:color="auto"/>
        <w:right w:val="none" w:sz="0" w:space="0" w:color="auto"/>
      </w:divBdr>
    </w:div>
    <w:div w:id="842742552">
      <w:bodyDiv w:val="1"/>
      <w:marLeft w:val="0"/>
      <w:marRight w:val="0"/>
      <w:marTop w:val="0"/>
      <w:marBottom w:val="0"/>
      <w:divBdr>
        <w:top w:val="none" w:sz="0" w:space="0" w:color="auto"/>
        <w:left w:val="none" w:sz="0" w:space="0" w:color="auto"/>
        <w:bottom w:val="none" w:sz="0" w:space="0" w:color="auto"/>
        <w:right w:val="none" w:sz="0" w:space="0" w:color="auto"/>
      </w:divBdr>
    </w:div>
    <w:div w:id="1189872640">
      <w:bodyDiv w:val="1"/>
      <w:marLeft w:val="0"/>
      <w:marRight w:val="0"/>
      <w:marTop w:val="0"/>
      <w:marBottom w:val="0"/>
      <w:divBdr>
        <w:top w:val="none" w:sz="0" w:space="0" w:color="auto"/>
        <w:left w:val="none" w:sz="0" w:space="0" w:color="auto"/>
        <w:bottom w:val="none" w:sz="0" w:space="0" w:color="auto"/>
        <w:right w:val="none" w:sz="0" w:space="0" w:color="auto"/>
      </w:divBdr>
    </w:div>
    <w:div w:id="1292320944">
      <w:bodyDiv w:val="1"/>
      <w:marLeft w:val="0"/>
      <w:marRight w:val="0"/>
      <w:marTop w:val="0"/>
      <w:marBottom w:val="0"/>
      <w:divBdr>
        <w:top w:val="none" w:sz="0" w:space="0" w:color="auto"/>
        <w:left w:val="none" w:sz="0" w:space="0" w:color="auto"/>
        <w:bottom w:val="none" w:sz="0" w:space="0" w:color="auto"/>
        <w:right w:val="none" w:sz="0" w:space="0" w:color="auto"/>
      </w:divBdr>
    </w:div>
    <w:div w:id="1591156762">
      <w:bodyDiv w:val="1"/>
      <w:marLeft w:val="0"/>
      <w:marRight w:val="0"/>
      <w:marTop w:val="0"/>
      <w:marBottom w:val="0"/>
      <w:divBdr>
        <w:top w:val="none" w:sz="0" w:space="0" w:color="auto"/>
        <w:left w:val="none" w:sz="0" w:space="0" w:color="auto"/>
        <w:bottom w:val="none" w:sz="0" w:space="0" w:color="auto"/>
        <w:right w:val="none" w:sz="0" w:space="0" w:color="auto"/>
      </w:divBdr>
    </w:div>
    <w:div w:id="1667897736">
      <w:bodyDiv w:val="1"/>
      <w:marLeft w:val="0"/>
      <w:marRight w:val="0"/>
      <w:marTop w:val="0"/>
      <w:marBottom w:val="0"/>
      <w:divBdr>
        <w:top w:val="none" w:sz="0" w:space="0" w:color="auto"/>
        <w:left w:val="none" w:sz="0" w:space="0" w:color="auto"/>
        <w:bottom w:val="none" w:sz="0" w:space="0" w:color="auto"/>
        <w:right w:val="none" w:sz="0" w:space="0" w:color="auto"/>
      </w:divBdr>
    </w:div>
    <w:div w:id="200790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2;ablony\EG&#218;%20Brno\&#352;ablona%20DDR%202016.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79294-A3A9-43A7-A7F7-F9A1CE51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DDR 2016.dotx</Template>
  <TotalTime>283</TotalTime>
  <Pages>9</Pages>
  <Words>2366</Words>
  <Characters>16230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Metodika přepočtu TDD na skutečné teploty</vt:lpstr>
    </vt:vector>
  </TitlesOfParts>
  <Company>EGÚ Brno, a. s.</Company>
  <LinksUpToDate>false</LinksUpToDate>
  <CharactersWithSpaces>18559</CharactersWithSpaces>
  <SharedDoc>false</SharedDoc>
  <HLinks>
    <vt:vector size="12" baseType="variant">
      <vt:variant>
        <vt:i4>6946927</vt:i4>
      </vt:variant>
      <vt:variant>
        <vt:i4>42</vt:i4>
      </vt:variant>
      <vt:variant>
        <vt:i4>0</vt:i4>
      </vt:variant>
      <vt:variant>
        <vt:i4>5</vt:i4>
      </vt:variant>
      <vt:variant>
        <vt:lpwstr>http://www.egubrno.cz/</vt:lpwstr>
      </vt:variant>
      <vt:variant>
        <vt:lpwstr/>
      </vt:variant>
      <vt:variant>
        <vt:i4>6946927</vt:i4>
      </vt:variant>
      <vt:variant>
        <vt:i4>30</vt:i4>
      </vt:variant>
      <vt:variant>
        <vt:i4>0</vt:i4>
      </vt:variant>
      <vt:variant>
        <vt:i4>5</vt:i4>
      </vt:variant>
      <vt:variant>
        <vt:lpwstr>http://www.egubrno.cz/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přepočtu TDD na skutečné teploty</dc:title>
  <dc:subject/>
  <dc:creator>Pejchal Vítězslav</dc:creator>
  <dc:description>Verze 2016.07W
MS Office 2007/2010/2013</dc:description>
  <cp:lastModifiedBy>EGÚ</cp:lastModifiedBy>
  <cp:revision>22</cp:revision>
  <cp:lastPrinted>2016-10-07T13:27:00Z</cp:lastPrinted>
  <dcterms:created xsi:type="dcterms:W3CDTF">2017-09-13T11:53:00Z</dcterms:created>
  <dcterms:modified xsi:type="dcterms:W3CDTF">2019-09-17T11:54:00Z</dcterms:modified>
  <cp:contentStatus>Duben 2016</cp:contentStatus>
</cp:coreProperties>
</file>