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646C" w14:textId="77777777" w:rsidR="00325D21" w:rsidRDefault="005866ED" w:rsidP="00325D2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60DA7">
        <w:rPr>
          <w:rFonts w:ascii="Arial" w:hAnsi="Arial" w:cs="Arial"/>
          <w:b/>
        </w:rPr>
        <w:t>Metodika ERÚ použitá pro</w:t>
      </w:r>
      <w:r w:rsidR="00325D21" w:rsidRPr="00E60DA7">
        <w:rPr>
          <w:rFonts w:ascii="Arial" w:hAnsi="Arial" w:cs="Arial"/>
          <w:b/>
        </w:rPr>
        <w:t xml:space="preserve"> </w:t>
      </w:r>
      <w:r w:rsidRPr="00E60DA7">
        <w:rPr>
          <w:rFonts w:ascii="Arial" w:hAnsi="Arial" w:cs="Arial"/>
          <w:b/>
        </w:rPr>
        <w:t>stanovení</w:t>
      </w:r>
      <w:r w:rsidR="00325D21" w:rsidRPr="00E60DA7">
        <w:rPr>
          <w:rFonts w:ascii="Arial" w:hAnsi="Arial" w:cs="Arial"/>
          <w:b/>
        </w:rPr>
        <w:t xml:space="preserve"> ztrát</w:t>
      </w:r>
      <w:r w:rsidRPr="00E60DA7">
        <w:rPr>
          <w:rFonts w:ascii="Arial" w:hAnsi="Arial" w:cs="Arial"/>
          <w:b/>
        </w:rPr>
        <w:t xml:space="preserve"> v systému TDD</w:t>
      </w:r>
    </w:p>
    <w:p w14:paraId="2A193391" w14:textId="77777777" w:rsidR="00B604A0" w:rsidRDefault="00B604A0" w:rsidP="00B604A0">
      <w:pPr>
        <w:ind w:firstLine="360"/>
        <w:jc w:val="both"/>
        <w:rPr>
          <w:rFonts w:ascii="Arial" w:hAnsi="Arial" w:cs="Arial"/>
          <w:sz w:val="20"/>
        </w:rPr>
      </w:pPr>
    </w:p>
    <w:p w14:paraId="23DBFB39" w14:textId="77777777" w:rsidR="00B604A0" w:rsidRDefault="00B604A0" w:rsidP="00E14742">
      <w:pPr>
        <w:spacing w:line="288" w:lineRule="auto"/>
        <w:ind w:firstLine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následujícím textu je popsána metodika pro stanovení ztrát jako vstupní veličiny do systému TDD, která vychází z</w:t>
      </w:r>
      <w:r w:rsidR="00B008B6">
        <w:rPr>
          <w:rFonts w:ascii="Arial" w:hAnsi="Arial" w:cs="Arial"/>
          <w:sz w:val="20"/>
        </w:rPr>
        <w:t> definice a způsobu vyčíslení ztrát dle Energetického regulačního úřadu (ERÚ).</w:t>
      </w:r>
      <w:r>
        <w:rPr>
          <w:rFonts w:ascii="Arial" w:hAnsi="Arial" w:cs="Arial"/>
          <w:sz w:val="20"/>
        </w:rPr>
        <w:t xml:space="preserve"> </w:t>
      </w:r>
    </w:p>
    <w:p w14:paraId="49418E27" w14:textId="77777777" w:rsidR="00B008B6" w:rsidRDefault="00B008B6" w:rsidP="00B604A0">
      <w:pPr>
        <w:ind w:firstLine="360"/>
        <w:jc w:val="both"/>
        <w:rPr>
          <w:rFonts w:ascii="Arial" w:hAnsi="Arial" w:cs="Arial"/>
          <w:sz w:val="20"/>
        </w:rPr>
      </w:pPr>
    </w:p>
    <w:p w14:paraId="72F73CD7" w14:textId="77777777" w:rsidR="00371067" w:rsidRPr="00371067" w:rsidRDefault="001D23BA" w:rsidP="0037106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t>Ztráty</w:t>
      </w:r>
      <w:r w:rsidR="00B008B6" w:rsidRPr="00371067">
        <w:rPr>
          <w:rFonts w:ascii="Arial" w:hAnsi="Arial" w:cs="Arial"/>
          <w:b/>
          <w:sz w:val="22"/>
          <w:szCs w:val="22"/>
        </w:rPr>
        <w:t xml:space="preserve"> </w:t>
      </w:r>
      <w:r w:rsidR="00371067" w:rsidRPr="00371067">
        <w:rPr>
          <w:rFonts w:ascii="Arial" w:hAnsi="Arial" w:cs="Arial"/>
          <w:b/>
          <w:sz w:val="22"/>
          <w:szCs w:val="22"/>
        </w:rPr>
        <w:t xml:space="preserve">pro účely stanovení zbytkového diagramu v systému TDD </w:t>
      </w:r>
    </w:p>
    <w:p w14:paraId="11E5F9AC" w14:textId="77777777" w:rsidR="00371067" w:rsidRDefault="00371067" w:rsidP="00371067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EA7EED0" w14:textId="1BD44969" w:rsidR="001D23BA" w:rsidRDefault="0008428D" w:rsidP="002B58B0">
      <w:pPr>
        <w:pStyle w:val="Odstavecseseznamem"/>
        <w:spacing w:line="288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Způsob stanovení zbytkového diagramu je definován v</w:t>
      </w:r>
      <w:r w:rsidR="00300F38">
        <w:rPr>
          <w:rFonts w:ascii="Arial" w:hAnsi="Arial" w:cs="Arial"/>
          <w:sz w:val="20"/>
          <w:szCs w:val="20"/>
        </w:rPr>
        <w:t xml:space="preserve">e vyhlášce ERÚ o Pravidlech trhu s elektřinou (č. </w:t>
      </w:r>
      <w:r w:rsidR="000239E2">
        <w:rPr>
          <w:rFonts w:ascii="Arial" w:hAnsi="Arial" w:cs="Arial"/>
          <w:sz w:val="20"/>
          <w:szCs w:val="20"/>
        </w:rPr>
        <w:t>408</w:t>
      </w:r>
      <w:r w:rsidR="00300F38">
        <w:rPr>
          <w:rFonts w:ascii="Arial" w:hAnsi="Arial" w:cs="Arial"/>
          <w:sz w:val="20"/>
          <w:szCs w:val="20"/>
        </w:rPr>
        <w:t>/20</w:t>
      </w:r>
      <w:r w:rsidR="000239E2">
        <w:rPr>
          <w:rFonts w:ascii="Arial" w:hAnsi="Arial" w:cs="Arial"/>
          <w:sz w:val="20"/>
          <w:szCs w:val="20"/>
        </w:rPr>
        <w:t>15</w:t>
      </w:r>
      <w:r w:rsidR="00300F38">
        <w:rPr>
          <w:rFonts w:ascii="Arial" w:hAnsi="Arial" w:cs="Arial"/>
          <w:sz w:val="20"/>
          <w:szCs w:val="20"/>
        </w:rPr>
        <w:t xml:space="preserve"> ve znění pozdějších předpisů) v</w:t>
      </w:r>
      <w:r w:rsidR="007D3FF8">
        <w:rPr>
          <w:rFonts w:ascii="Arial" w:hAnsi="Arial" w:cs="Arial"/>
          <w:sz w:val="20"/>
          <w:szCs w:val="20"/>
        </w:rPr>
        <w:t xml:space="preserve"> paragrafu </w:t>
      </w:r>
      <w:r w:rsidR="000239E2">
        <w:rPr>
          <w:rFonts w:ascii="Arial" w:hAnsi="Arial" w:cs="Arial"/>
          <w:sz w:val="20"/>
          <w:szCs w:val="20"/>
        </w:rPr>
        <w:t>23</w:t>
      </w:r>
      <w:r w:rsidR="007D3FF8">
        <w:rPr>
          <w:rFonts w:ascii="Arial" w:hAnsi="Arial" w:cs="Arial"/>
          <w:sz w:val="20"/>
          <w:szCs w:val="20"/>
        </w:rPr>
        <w:t xml:space="preserve">, odstavci </w:t>
      </w:r>
      <w:r w:rsidR="000239E2">
        <w:rPr>
          <w:rFonts w:ascii="Arial" w:hAnsi="Arial" w:cs="Arial"/>
          <w:sz w:val="20"/>
          <w:szCs w:val="20"/>
        </w:rPr>
        <w:t>3</w:t>
      </w:r>
      <w:r w:rsidR="007D3FF8">
        <w:rPr>
          <w:rFonts w:ascii="Arial" w:hAnsi="Arial" w:cs="Arial"/>
          <w:sz w:val="20"/>
          <w:szCs w:val="20"/>
        </w:rPr>
        <w:t xml:space="preserve"> následovně: „</w:t>
      </w:r>
      <w:r w:rsidR="002B58B0" w:rsidRPr="002B58B0">
        <w:rPr>
          <w:rFonts w:ascii="Arial" w:hAnsi="Arial" w:cs="Arial"/>
          <w:i/>
          <w:sz w:val="20"/>
          <w:szCs w:val="20"/>
        </w:rPr>
        <w:t>Pro každý den dodávky stanovuje operátor</w:t>
      </w:r>
      <w:r w:rsidR="002B58B0">
        <w:rPr>
          <w:rFonts w:ascii="Arial" w:hAnsi="Arial" w:cs="Arial"/>
          <w:i/>
          <w:sz w:val="20"/>
          <w:szCs w:val="20"/>
        </w:rPr>
        <w:t xml:space="preserve"> </w:t>
      </w:r>
      <w:r w:rsidR="002B58B0" w:rsidRPr="002B58B0">
        <w:rPr>
          <w:rFonts w:ascii="Arial" w:hAnsi="Arial" w:cs="Arial"/>
          <w:i/>
          <w:sz w:val="20"/>
          <w:szCs w:val="20"/>
        </w:rPr>
        <w:t>trhu zbytkový diagram zatížení v jednotlivých obchodních</w:t>
      </w:r>
      <w:r w:rsidR="002B58B0">
        <w:rPr>
          <w:rFonts w:ascii="Arial" w:hAnsi="Arial" w:cs="Arial"/>
          <w:i/>
          <w:sz w:val="20"/>
          <w:szCs w:val="20"/>
        </w:rPr>
        <w:t xml:space="preserve"> </w:t>
      </w:r>
      <w:r w:rsidR="002B58B0" w:rsidRPr="002B58B0">
        <w:rPr>
          <w:rFonts w:ascii="Arial" w:hAnsi="Arial" w:cs="Arial"/>
          <w:i/>
          <w:sz w:val="20"/>
          <w:szCs w:val="20"/>
        </w:rPr>
        <w:t>hodinách za jednotlivé regiony definované</w:t>
      </w:r>
      <w:r w:rsidR="002B58B0">
        <w:rPr>
          <w:rFonts w:ascii="Arial" w:hAnsi="Arial" w:cs="Arial"/>
          <w:i/>
          <w:sz w:val="20"/>
          <w:szCs w:val="20"/>
        </w:rPr>
        <w:t xml:space="preserve"> </w:t>
      </w:r>
      <w:r w:rsidR="002B58B0" w:rsidRPr="002B58B0">
        <w:rPr>
          <w:rFonts w:ascii="Arial" w:hAnsi="Arial" w:cs="Arial"/>
          <w:i/>
          <w:sz w:val="20"/>
          <w:szCs w:val="20"/>
        </w:rPr>
        <w:t>operátorem trhu pro účely vyhodnocení zbytkového</w:t>
      </w:r>
      <w:r w:rsidR="002B58B0">
        <w:rPr>
          <w:rFonts w:ascii="Arial" w:hAnsi="Arial" w:cs="Arial"/>
          <w:i/>
          <w:sz w:val="20"/>
          <w:szCs w:val="20"/>
        </w:rPr>
        <w:t xml:space="preserve"> </w:t>
      </w:r>
      <w:r w:rsidR="002B58B0" w:rsidRPr="002B58B0">
        <w:rPr>
          <w:rFonts w:ascii="Arial" w:hAnsi="Arial" w:cs="Arial"/>
          <w:i/>
          <w:sz w:val="20"/>
          <w:szCs w:val="20"/>
        </w:rPr>
        <w:t>diagramu (dále jen „region typových diagramů“).</w:t>
      </w:r>
      <w:r w:rsidR="002B58B0">
        <w:rPr>
          <w:rFonts w:ascii="Arial" w:hAnsi="Arial" w:cs="Arial"/>
          <w:i/>
          <w:sz w:val="20"/>
          <w:szCs w:val="20"/>
        </w:rPr>
        <w:t xml:space="preserve"> </w:t>
      </w:r>
      <w:r w:rsidR="002B58B0" w:rsidRPr="002B58B0">
        <w:rPr>
          <w:rFonts w:ascii="Arial" w:hAnsi="Arial" w:cs="Arial"/>
          <w:i/>
          <w:sz w:val="20"/>
          <w:szCs w:val="20"/>
        </w:rPr>
        <w:t>Zbytkový diagram zatížení se stanoví jako rozdíl</w:t>
      </w:r>
      <w:r w:rsidR="002B58B0">
        <w:rPr>
          <w:rFonts w:ascii="Arial" w:hAnsi="Arial" w:cs="Arial"/>
          <w:i/>
          <w:sz w:val="20"/>
          <w:szCs w:val="20"/>
        </w:rPr>
        <w:t xml:space="preserve"> </w:t>
      </w:r>
      <w:r w:rsidR="002B58B0" w:rsidRPr="002B58B0">
        <w:rPr>
          <w:rFonts w:ascii="Arial" w:hAnsi="Arial" w:cs="Arial"/>
          <w:i/>
          <w:sz w:val="20"/>
          <w:szCs w:val="20"/>
        </w:rPr>
        <w:t>součtu skutečných hodnot dodávek elektřiny z</w:t>
      </w:r>
      <w:r w:rsidR="002B58B0">
        <w:rPr>
          <w:rFonts w:ascii="Arial" w:hAnsi="Arial" w:cs="Arial"/>
          <w:i/>
          <w:sz w:val="20"/>
          <w:szCs w:val="20"/>
        </w:rPr>
        <w:t> </w:t>
      </w:r>
      <w:r w:rsidR="002B58B0" w:rsidRPr="002B58B0">
        <w:rPr>
          <w:rFonts w:ascii="Arial" w:hAnsi="Arial" w:cs="Arial"/>
          <w:i/>
          <w:sz w:val="20"/>
          <w:szCs w:val="20"/>
        </w:rPr>
        <w:t>odběrných</w:t>
      </w:r>
      <w:r w:rsidR="002B58B0">
        <w:rPr>
          <w:rFonts w:ascii="Arial" w:hAnsi="Arial" w:cs="Arial"/>
          <w:i/>
          <w:sz w:val="20"/>
          <w:szCs w:val="20"/>
        </w:rPr>
        <w:t xml:space="preserve"> </w:t>
      </w:r>
      <w:r w:rsidR="002B58B0" w:rsidRPr="002B58B0">
        <w:rPr>
          <w:rFonts w:ascii="Arial" w:hAnsi="Arial" w:cs="Arial"/>
          <w:i/>
          <w:sz w:val="20"/>
          <w:szCs w:val="20"/>
        </w:rPr>
        <w:t>a předávacích míst regionu typových diagramů</w:t>
      </w:r>
      <w:r w:rsidR="002B58B0">
        <w:rPr>
          <w:rFonts w:ascii="Arial" w:hAnsi="Arial" w:cs="Arial"/>
          <w:i/>
          <w:sz w:val="20"/>
          <w:szCs w:val="20"/>
        </w:rPr>
        <w:t xml:space="preserve"> </w:t>
      </w:r>
      <w:r w:rsidR="002B58B0" w:rsidRPr="002B58B0">
        <w:rPr>
          <w:rFonts w:ascii="Arial" w:hAnsi="Arial" w:cs="Arial"/>
          <w:i/>
          <w:sz w:val="20"/>
          <w:szCs w:val="20"/>
        </w:rPr>
        <w:t>s měřeními typu A, B, M a C a součtu skutečných</w:t>
      </w:r>
      <w:r w:rsidR="002B58B0">
        <w:rPr>
          <w:rFonts w:ascii="Arial" w:hAnsi="Arial" w:cs="Arial"/>
          <w:i/>
          <w:sz w:val="20"/>
          <w:szCs w:val="20"/>
        </w:rPr>
        <w:t xml:space="preserve"> </w:t>
      </w:r>
      <w:r w:rsidR="002B58B0" w:rsidRPr="002B58B0">
        <w:rPr>
          <w:rFonts w:ascii="Arial" w:hAnsi="Arial" w:cs="Arial"/>
          <w:i/>
          <w:sz w:val="20"/>
          <w:szCs w:val="20"/>
        </w:rPr>
        <w:t>hodnot odběrů elektřiny odběrných a předávacích</w:t>
      </w:r>
      <w:r w:rsidR="002B58B0">
        <w:rPr>
          <w:rFonts w:ascii="Arial" w:hAnsi="Arial" w:cs="Arial"/>
          <w:i/>
          <w:sz w:val="20"/>
          <w:szCs w:val="20"/>
        </w:rPr>
        <w:t xml:space="preserve"> </w:t>
      </w:r>
      <w:r w:rsidR="002B58B0" w:rsidRPr="002B58B0">
        <w:rPr>
          <w:rFonts w:ascii="Arial" w:hAnsi="Arial" w:cs="Arial"/>
          <w:i/>
          <w:sz w:val="20"/>
          <w:szCs w:val="20"/>
        </w:rPr>
        <w:t>míst s měřeními typu A, B a M a odběru</w:t>
      </w:r>
      <w:r w:rsidR="002B58B0">
        <w:rPr>
          <w:rFonts w:ascii="Arial" w:hAnsi="Arial" w:cs="Arial"/>
          <w:i/>
          <w:sz w:val="20"/>
          <w:szCs w:val="20"/>
        </w:rPr>
        <w:t xml:space="preserve"> </w:t>
      </w:r>
      <w:r w:rsidR="002B58B0" w:rsidRPr="002B58B0">
        <w:rPr>
          <w:rFonts w:ascii="Arial" w:hAnsi="Arial" w:cs="Arial"/>
          <w:i/>
          <w:sz w:val="20"/>
          <w:szCs w:val="20"/>
        </w:rPr>
        <w:t>výroben elektřiny s měřením typu C v</w:t>
      </w:r>
      <w:r w:rsidR="002B58B0">
        <w:rPr>
          <w:rFonts w:ascii="Arial" w:hAnsi="Arial" w:cs="Arial"/>
          <w:i/>
          <w:sz w:val="20"/>
          <w:szCs w:val="20"/>
        </w:rPr>
        <w:t> </w:t>
      </w:r>
      <w:r w:rsidR="002B58B0" w:rsidRPr="002B58B0">
        <w:rPr>
          <w:rFonts w:ascii="Arial" w:hAnsi="Arial" w:cs="Arial"/>
          <w:i/>
          <w:sz w:val="20"/>
          <w:szCs w:val="20"/>
        </w:rPr>
        <w:t>příslušných</w:t>
      </w:r>
      <w:r w:rsidR="002B58B0">
        <w:rPr>
          <w:rFonts w:ascii="Arial" w:hAnsi="Arial" w:cs="Arial"/>
          <w:i/>
          <w:sz w:val="20"/>
          <w:szCs w:val="20"/>
        </w:rPr>
        <w:t xml:space="preserve"> </w:t>
      </w:r>
      <w:r w:rsidR="002B58B0" w:rsidRPr="002B58B0">
        <w:rPr>
          <w:rFonts w:ascii="Arial" w:hAnsi="Arial" w:cs="Arial"/>
          <w:i/>
          <w:sz w:val="20"/>
          <w:szCs w:val="20"/>
        </w:rPr>
        <w:t>regionech typových diagramů a hodnoty ztrát v</w:t>
      </w:r>
      <w:r w:rsidR="002B58B0">
        <w:rPr>
          <w:rFonts w:ascii="Arial" w:hAnsi="Arial" w:cs="Arial"/>
          <w:i/>
          <w:sz w:val="20"/>
          <w:szCs w:val="20"/>
        </w:rPr>
        <w:t> </w:t>
      </w:r>
      <w:r w:rsidR="002B58B0" w:rsidRPr="002B58B0">
        <w:rPr>
          <w:rFonts w:ascii="Arial" w:hAnsi="Arial" w:cs="Arial"/>
          <w:i/>
          <w:sz w:val="20"/>
          <w:szCs w:val="20"/>
        </w:rPr>
        <w:t>daném</w:t>
      </w:r>
      <w:r w:rsidR="002B58B0">
        <w:rPr>
          <w:rFonts w:ascii="Arial" w:hAnsi="Arial" w:cs="Arial"/>
          <w:i/>
          <w:sz w:val="20"/>
          <w:szCs w:val="20"/>
        </w:rPr>
        <w:t xml:space="preserve"> </w:t>
      </w:r>
      <w:r w:rsidR="002B58B0" w:rsidRPr="002B58B0">
        <w:rPr>
          <w:rFonts w:ascii="Arial" w:hAnsi="Arial" w:cs="Arial"/>
          <w:i/>
          <w:sz w:val="20"/>
          <w:szCs w:val="20"/>
        </w:rPr>
        <w:t>dni dodávky. Hodnota ztrát se stanoví součinem</w:t>
      </w:r>
      <w:r w:rsidR="002B58B0">
        <w:rPr>
          <w:rFonts w:ascii="Arial" w:hAnsi="Arial" w:cs="Arial"/>
          <w:i/>
          <w:sz w:val="20"/>
          <w:szCs w:val="20"/>
        </w:rPr>
        <w:t xml:space="preserve"> </w:t>
      </w:r>
      <w:r w:rsidR="002B58B0" w:rsidRPr="002B58B0">
        <w:rPr>
          <w:rFonts w:ascii="Arial" w:hAnsi="Arial" w:cs="Arial"/>
          <w:i/>
          <w:sz w:val="20"/>
          <w:szCs w:val="20"/>
        </w:rPr>
        <w:t>míry celkových ztrát určené Úřadem a množství</w:t>
      </w:r>
      <w:r w:rsidR="002B58B0">
        <w:rPr>
          <w:rFonts w:ascii="Arial" w:hAnsi="Arial" w:cs="Arial"/>
          <w:i/>
          <w:sz w:val="20"/>
          <w:szCs w:val="20"/>
        </w:rPr>
        <w:t xml:space="preserve"> </w:t>
      </w:r>
      <w:r w:rsidR="002B58B0" w:rsidRPr="002B58B0">
        <w:rPr>
          <w:rFonts w:ascii="Arial" w:hAnsi="Arial" w:cs="Arial"/>
          <w:i/>
          <w:sz w:val="20"/>
          <w:szCs w:val="20"/>
        </w:rPr>
        <w:t>elektřiny vstupujícího do regionu typových diagram</w:t>
      </w:r>
      <w:r w:rsidR="002B58B0">
        <w:rPr>
          <w:rFonts w:ascii="Arial" w:hAnsi="Arial" w:cs="Arial"/>
          <w:i/>
          <w:sz w:val="20"/>
          <w:szCs w:val="20"/>
        </w:rPr>
        <w:t>ů.“</w:t>
      </w:r>
    </w:p>
    <w:p w14:paraId="4B81654C" w14:textId="77777777" w:rsidR="001D23BA" w:rsidRDefault="001D23BA" w:rsidP="00E14742">
      <w:pPr>
        <w:pStyle w:val="Odstavecseseznamem"/>
        <w:spacing w:line="288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E17F63E" w14:textId="77777777" w:rsidR="001D23BA" w:rsidRDefault="001D23BA" w:rsidP="00E14742">
      <w:pPr>
        <w:pStyle w:val="Odstavecseseznamem"/>
        <w:spacing w:line="288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Vzorec pro výpočet zbytkového diagramu je uveden v Obchodních podmínkách OTE v bodě 3.6.1, přičemž vstupní veličinou je velikost ztrát v daném regionu TDD v obchodní hodině (ozn. </w:t>
      </w:r>
      <w:r w:rsidRPr="001D23BA">
        <w:rPr>
          <w:rFonts w:ascii="Arial" w:hAnsi="Arial" w:cs="Arial"/>
          <w:i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).</w:t>
      </w:r>
    </w:p>
    <w:p w14:paraId="384E7600" w14:textId="77777777" w:rsidR="001D23BA" w:rsidRDefault="001D23BA" w:rsidP="00E14742">
      <w:pPr>
        <w:pStyle w:val="Odstavecseseznamem"/>
        <w:spacing w:line="288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511B0CC" w14:textId="77777777" w:rsidR="001D23BA" w:rsidRPr="007C51D1" w:rsidRDefault="001D23BA" w:rsidP="00E14742">
      <w:pPr>
        <w:pStyle w:val="Odstavecseseznamem"/>
        <w:numPr>
          <w:ilvl w:val="0"/>
          <w:numId w:val="9"/>
        </w:numPr>
        <w:spacing w:line="288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Definice </w:t>
      </w:r>
      <w:r w:rsidR="00B850C0">
        <w:rPr>
          <w:rFonts w:ascii="Arial" w:hAnsi="Arial" w:cs="Arial"/>
          <w:b/>
          <w:sz w:val="22"/>
          <w:szCs w:val="22"/>
        </w:rPr>
        <w:t xml:space="preserve">povolené míry </w:t>
      </w:r>
      <w:r>
        <w:rPr>
          <w:rFonts w:ascii="Arial" w:hAnsi="Arial" w:cs="Arial"/>
          <w:b/>
          <w:sz w:val="22"/>
          <w:szCs w:val="22"/>
        </w:rPr>
        <w:t xml:space="preserve">ztrát </w:t>
      </w:r>
      <w:r w:rsidR="002E02D8">
        <w:rPr>
          <w:rFonts w:ascii="Arial" w:hAnsi="Arial" w:cs="Arial"/>
          <w:b/>
          <w:sz w:val="22"/>
          <w:szCs w:val="22"/>
        </w:rPr>
        <w:t>stanovených ze strany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C51D1">
        <w:rPr>
          <w:rFonts w:ascii="Arial" w:hAnsi="Arial" w:cs="Arial"/>
          <w:b/>
          <w:sz w:val="22"/>
          <w:szCs w:val="22"/>
        </w:rPr>
        <w:t>ERÚ</w:t>
      </w:r>
    </w:p>
    <w:p w14:paraId="02B850F0" w14:textId="77777777" w:rsidR="007C51D1" w:rsidRDefault="007C51D1" w:rsidP="007C51D1">
      <w:pPr>
        <w:pStyle w:val="Odstavecseseznamem"/>
        <w:spacing w:line="288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688EA788" w14:textId="69EA37A8" w:rsidR="00462AA5" w:rsidRDefault="002E02D8" w:rsidP="00E14742">
      <w:pPr>
        <w:pStyle w:val="Odstavecseseznamem"/>
        <w:spacing w:line="288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ERÚ stanovuje </w:t>
      </w:r>
      <w:r w:rsidR="003C224F">
        <w:rPr>
          <w:rFonts w:ascii="Arial" w:hAnsi="Arial" w:cs="Arial"/>
          <w:sz w:val="20"/>
          <w:szCs w:val="20"/>
        </w:rPr>
        <w:t xml:space="preserve">jednu </w:t>
      </w:r>
      <w:r>
        <w:rPr>
          <w:rFonts w:ascii="Arial" w:hAnsi="Arial" w:cs="Arial"/>
          <w:sz w:val="20"/>
          <w:szCs w:val="20"/>
        </w:rPr>
        <w:t xml:space="preserve">povolenou míru ztrát </w:t>
      </w:r>
      <w:r w:rsidRPr="003C224F">
        <w:rPr>
          <w:rFonts w:ascii="Arial" w:hAnsi="Arial" w:cs="Arial"/>
          <w:sz w:val="20"/>
          <w:szCs w:val="20"/>
        </w:rPr>
        <w:t>v každé distribuční soustavě</w:t>
      </w:r>
      <w:r w:rsidR="00D9618B">
        <w:rPr>
          <w:rFonts w:ascii="Arial" w:hAnsi="Arial" w:cs="Arial"/>
          <w:sz w:val="20"/>
          <w:szCs w:val="20"/>
        </w:rPr>
        <w:t xml:space="preserve"> pro každý region TDD</w:t>
      </w:r>
      <w:r w:rsidRPr="002E02D8">
        <w:rPr>
          <w:rFonts w:ascii="Arial" w:hAnsi="Arial" w:cs="Arial"/>
          <w:b/>
          <w:sz w:val="20"/>
          <w:szCs w:val="20"/>
        </w:rPr>
        <w:t xml:space="preserve"> </w:t>
      </w:r>
      <w:r w:rsidR="003C224F">
        <w:rPr>
          <w:rFonts w:ascii="Arial" w:hAnsi="Arial" w:cs="Arial"/>
          <w:b/>
          <w:sz w:val="20"/>
          <w:szCs w:val="20"/>
        </w:rPr>
        <w:t>přes všechny</w:t>
      </w:r>
      <w:r w:rsidRPr="002E02D8">
        <w:rPr>
          <w:rFonts w:ascii="Arial" w:hAnsi="Arial" w:cs="Arial"/>
          <w:b/>
          <w:sz w:val="20"/>
          <w:szCs w:val="20"/>
        </w:rPr>
        <w:t xml:space="preserve"> napěťové úrovně</w:t>
      </w:r>
      <w:r w:rsidR="00701CDD">
        <w:rPr>
          <w:rFonts w:ascii="Arial" w:hAnsi="Arial" w:cs="Arial"/>
          <w:b/>
          <w:sz w:val="20"/>
          <w:szCs w:val="20"/>
        </w:rPr>
        <w:t xml:space="preserve"> – tedy za distribuční soustavu jako celek</w:t>
      </w:r>
      <w:r>
        <w:rPr>
          <w:rFonts w:ascii="Arial" w:hAnsi="Arial" w:cs="Arial"/>
          <w:sz w:val="20"/>
          <w:szCs w:val="20"/>
        </w:rPr>
        <w:t xml:space="preserve">, která tvoří výchozí hodnotu pro stanovení celkového objemu ztrát </w:t>
      </w:r>
      <w:r w:rsidR="003C224F">
        <w:rPr>
          <w:rFonts w:ascii="Arial" w:hAnsi="Arial" w:cs="Arial"/>
          <w:sz w:val="20"/>
          <w:szCs w:val="20"/>
        </w:rPr>
        <w:t xml:space="preserve">používaných </w:t>
      </w:r>
      <w:r>
        <w:rPr>
          <w:rFonts w:ascii="Arial" w:hAnsi="Arial" w:cs="Arial"/>
          <w:sz w:val="20"/>
          <w:szCs w:val="20"/>
        </w:rPr>
        <w:t xml:space="preserve">v rámci systému TDD. </w:t>
      </w:r>
    </w:p>
    <w:p w14:paraId="6EAE9ACC" w14:textId="5206C3B4" w:rsidR="001D23BA" w:rsidRDefault="00462AA5" w:rsidP="00E14742">
      <w:pPr>
        <w:pStyle w:val="Odstavecseseznamem"/>
        <w:spacing w:line="288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Vychází přitom z výkazů 12-B1, které PDS předávají ERÚ v souladu s vyhláškou o regulačním výkaznictví (č. 262/2015).</w:t>
      </w:r>
      <w:r w:rsidR="00BA0CD0">
        <w:rPr>
          <w:rFonts w:ascii="Arial" w:hAnsi="Arial" w:cs="Arial"/>
          <w:sz w:val="20"/>
          <w:szCs w:val="20"/>
        </w:rPr>
        <w:t xml:space="preserve"> Jedná se o </w:t>
      </w:r>
      <w:r>
        <w:rPr>
          <w:rFonts w:ascii="Arial" w:hAnsi="Arial" w:cs="Arial"/>
          <w:sz w:val="20"/>
          <w:szCs w:val="20"/>
        </w:rPr>
        <w:t>výkazy</w:t>
      </w:r>
      <w:r w:rsidR="00BA0CD0">
        <w:rPr>
          <w:rFonts w:ascii="Arial" w:hAnsi="Arial" w:cs="Arial"/>
          <w:sz w:val="20"/>
          <w:szCs w:val="20"/>
        </w:rPr>
        <w:t xml:space="preserve"> roční bilance elektřiny</w:t>
      </w:r>
      <w:r w:rsidR="00713E4E">
        <w:rPr>
          <w:rFonts w:ascii="Arial" w:hAnsi="Arial" w:cs="Arial"/>
          <w:sz w:val="20"/>
          <w:szCs w:val="20"/>
        </w:rPr>
        <w:t xml:space="preserve"> provozovatele distribuční soustavy</w:t>
      </w:r>
      <w:r w:rsidR="001D4B34">
        <w:rPr>
          <w:rFonts w:ascii="Arial" w:hAnsi="Arial" w:cs="Arial"/>
          <w:sz w:val="20"/>
          <w:szCs w:val="20"/>
        </w:rPr>
        <w:t>, ve kterém se uvádí skutečné objemy</w:t>
      </w:r>
      <w:r w:rsidR="001D4B34" w:rsidRPr="001D4B34">
        <w:rPr>
          <w:rFonts w:ascii="Arial" w:hAnsi="Arial" w:cs="Arial"/>
          <w:sz w:val="20"/>
          <w:szCs w:val="20"/>
        </w:rPr>
        <w:t xml:space="preserve"> energie </w:t>
      </w:r>
      <w:r w:rsidR="001D4B34">
        <w:rPr>
          <w:rFonts w:ascii="Arial" w:hAnsi="Arial" w:cs="Arial"/>
          <w:sz w:val="20"/>
          <w:szCs w:val="20"/>
        </w:rPr>
        <w:t xml:space="preserve">po definovaných položkách </w:t>
      </w:r>
      <w:r w:rsidR="001D4B34" w:rsidRPr="001D4B34">
        <w:rPr>
          <w:rFonts w:ascii="Arial" w:hAnsi="Arial" w:cs="Arial"/>
          <w:sz w:val="20"/>
          <w:szCs w:val="20"/>
        </w:rPr>
        <w:t>na stran</w:t>
      </w:r>
      <w:r w:rsidR="001D4B34">
        <w:rPr>
          <w:rFonts w:ascii="Arial" w:hAnsi="Arial" w:cs="Arial"/>
          <w:sz w:val="20"/>
          <w:szCs w:val="20"/>
        </w:rPr>
        <w:t>ě</w:t>
      </w:r>
      <w:r w:rsidR="001D4B34" w:rsidRPr="001D4B34">
        <w:rPr>
          <w:rFonts w:ascii="Arial" w:hAnsi="Arial" w:cs="Arial"/>
          <w:sz w:val="20"/>
          <w:szCs w:val="20"/>
        </w:rPr>
        <w:t xml:space="preserve"> vstupu do soustavy a na stran</w:t>
      </w:r>
      <w:r w:rsidR="001D4B34">
        <w:rPr>
          <w:rFonts w:ascii="Arial" w:hAnsi="Arial" w:cs="Arial"/>
          <w:sz w:val="20"/>
          <w:szCs w:val="20"/>
        </w:rPr>
        <w:t>ě</w:t>
      </w:r>
      <w:r w:rsidR="001D4B34" w:rsidRPr="001D4B34">
        <w:rPr>
          <w:rFonts w:ascii="Arial" w:hAnsi="Arial" w:cs="Arial"/>
          <w:sz w:val="20"/>
          <w:szCs w:val="20"/>
        </w:rPr>
        <w:t xml:space="preserve"> výstupu ze soustavy</w:t>
      </w:r>
      <w:r w:rsidR="001D4B34">
        <w:rPr>
          <w:rFonts w:ascii="Arial" w:hAnsi="Arial" w:cs="Arial"/>
          <w:sz w:val="20"/>
          <w:szCs w:val="20"/>
        </w:rPr>
        <w:t xml:space="preserve"> (nejedná se tedy o bilanční salda). Výsledný vstupující tok do soustavy je zjištěn sumací </w:t>
      </w:r>
      <w:r w:rsidR="00F46028">
        <w:rPr>
          <w:rFonts w:ascii="Arial" w:hAnsi="Arial" w:cs="Arial"/>
          <w:sz w:val="20"/>
          <w:szCs w:val="20"/>
        </w:rPr>
        <w:t xml:space="preserve">jednotlivých </w:t>
      </w:r>
      <w:r w:rsidR="001D4B34">
        <w:rPr>
          <w:rFonts w:ascii="Arial" w:hAnsi="Arial" w:cs="Arial"/>
          <w:sz w:val="20"/>
          <w:szCs w:val="20"/>
        </w:rPr>
        <w:t>položek</w:t>
      </w:r>
      <w:r w:rsidR="00F46028">
        <w:rPr>
          <w:rFonts w:ascii="Arial" w:hAnsi="Arial" w:cs="Arial"/>
          <w:sz w:val="20"/>
          <w:szCs w:val="20"/>
        </w:rPr>
        <w:t xml:space="preserve"> na straně vstupu do soustavy přes napěťové úrovně </w:t>
      </w:r>
      <w:r w:rsidR="00F46028" w:rsidRPr="0018374B">
        <w:rPr>
          <w:rFonts w:ascii="Arial" w:hAnsi="Arial" w:cs="Arial"/>
          <w:sz w:val="20"/>
          <w:szCs w:val="20"/>
        </w:rPr>
        <w:t>VVN, VN a NN.</w:t>
      </w:r>
      <w:r w:rsidR="001D4B34">
        <w:rPr>
          <w:rFonts w:ascii="Arial" w:hAnsi="Arial" w:cs="Arial"/>
          <w:sz w:val="20"/>
          <w:szCs w:val="20"/>
        </w:rPr>
        <w:t xml:space="preserve">  </w:t>
      </w:r>
    </w:p>
    <w:p w14:paraId="3B75672A" w14:textId="77777777" w:rsidR="00F46028" w:rsidRDefault="00F46028" w:rsidP="00E14742">
      <w:pPr>
        <w:pStyle w:val="Odstavecseseznamem"/>
        <w:spacing w:line="288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2039532" w14:textId="77777777" w:rsidR="006D199E" w:rsidRPr="007C51D1" w:rsidRDefault="006D199E" w:rsidP="006D199E">
      <w:pPr>
        <w:pStyle w:val="Odstavecseseznamem"/>
        <w:numPr>
          <w:ilvl w:val="0"/>
          <w:numId w:val="9"/>
        </w:numPr>
        <w:spacing w:line="288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Výpočet ztrát v systému TDD dle metodiky ERÚ</w:t>
      </w:r>
    </w:p>
    <w:p w14:paraId="7E7F57F5" w14:textId="77777777" w:rsidR="002B74F1" w:rsidRDefault="002B74F1" w:rsidP="00E14742">
      <w:pPr>
        <w:pStyle w:val="Odstavecseseznamem"/>
        <w:spacing w:line="288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765E4611" w14:textId="534DBC81" w:rsidR="00695818" w:rsidRDefault="00D9618B" w:rsidP="006D199E">
      <w:pPr>
        <w:pStyle w:val="Odstavecseseznamem"/>
        <w:spacing w:line="288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695818">
        <w:rPr>
          <w:rFonts w:ascii="Arial" w:hAnsi="Arial" w:cs="Arial"/>
          <w:sz w:val="20"/>
          <w:szCs w:val="20"/>
        </w:rPr>
        <w:t xml:space="preserve">íselné hodnoty míry ztrát </w:t>
      </w:r>
      <w:r>
        <w:rPr>
          <w:rFonts w:ascii="Arial" w:hAnsi="Arial" w:cs="Arial"/>
          <w:sz w:val="20"/>
          <w:szCs w:val="20"/>
        </w:rPr>
        <w:t xml:space="preserve">stanovené ze strany ERÚ </w:t>
      </w:r>
      <w:r w:rsidR="008B2D91">
        <w:rPr>
          <w:rFonts w:ascii="Arial" w:hAnsi="Arial" w:cs="Arial"/>
          <w:sz w:val="20"/>
          <w:szCs w:val="20"/>
        </w:rPr>
        <w:t xml:space="preserve">se využijí pro </w:t>
      </w:r>
      <w:r w:rsidR="006071DA">
        <w:rPr>
          <w:rFonts w:ascii="Arial" w:hAnsi="Arial" w:cs="Arial"/>
          <w:sz w:val="20"/>
          <w:szCs w:val="20"/>
        </w:rPr>
        <w:t>výpočet</w:t>
      </w:r>
      <w:r w:rsidR="008B2D91">
        <w:rPr>
          <w:rFonts w:ascii="Arial" w:hAnsi="Arial" w:cs="Arial"/>
          <w:sz w:val="20"/>
          <w:szCs w:val="20"/>
        </w:rPr>
        <w:t xml:space="preserve"> hodinových hodnot ztrát v rámci systému TDD.</w:t>
      </w:r>
      <w:r w:rsidR="006071DA">
        <w:rPr>
          <w:rFonts w:ascii="Arial" w:hAnsi="Arial" w:cs="Arial"/>
          <w:sz w:val="20"/>
          <w:szCs w:val="20"/>
        </w:rPr>
        <w:t xml:space="preserve"> Dále je uveden matematický popis tohoto výpočtu se značením jednotlivých veličin zavedeným při řešení projektu TDD.</w:t>
      </w:r>
    </w:p>
    <w:p w14:paraId="19B2E1F4" w14:textId="77777777" w:rsidR="00695818" w:rsidRDefault="00695818" w:rsidP="006D199E">
      <w:pPr>
        <w:pStyle w:val="Odstavecseseznamem"/>
        <w:spacing w:line="288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E931724" w14:textId="77777777" w:rsidR="00F75039" w:rsidRPr="006D199E" w:rsidRDefault="00F75039" w:rsidP="006D199E">
      <w:pPr>
        <w:pStyle w:val="Odstavecseseznamem"/>
        <w:spacing w:line="288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D199E">
        <w:rPr>
          <w:rFonts w:ascii="Arial" w:hAnsi="Arial" w:cs="Arial"/>
          <w:sz w:val="20"/>
          <w:szCs w:val="20"/>
        </w:rPr>
        <w:t xml:space="preserve">Hodinový diagram ztrát pro den </w:t>
      </w:r>
      <w:r w:rsidRPr="006D199E">
        <w:rPr>
          <w:rFonts w:ascii="Arial" w:hAnsi="Arial" w:cs="Arial"/>
          <w:i/>
          <w:sz w:val="20"/>
          <w:szCs w:val="20"/>
        </w:rPr>
        <w:t>D</w:t>
      </w:r>
      <w:r w:rsidRPr="006D199E">
        <w:rPr>
          <w:rFonts w:ascii="Arial" w:hAnsi="Arial" w:cs="Arial"/>
          <w:sz w:val="20"/>
          <w:szCs w:val="20"/>
        </w:rPr>
        <w:t xml:space="preserve"> za distribuční soustavu se </w:t>
      </w:r>
      <w:r w:rsidR="006071DA">
        <w:rPr>
          <w:rFonts w:ascii="Arial" w:hAnsi="Arial" w:cs="Arial"/>
          <w:sz w:val="20"/>
          <w:szCs w:val="20"/>
        </w:rPr>
        <w:t>vypočte</w:t>
      </w:r>
      <w:r w:rsidRPr="006D199E">
        <w:rPr>
          <w:rFonts w:ascii="Arial" w:hAnsi="Arial" w:cs="Arial"/>
          <w:sz w:val="20"/>
          <w:szCs w:val="20"/>
        </w:rPr>
        <w:t xml:space="preserve"> s pomocí procentní velikosti celkových ztrát </w:t>
      </w:r>
      <w:r w:rsidRPr="006D199E">
        <w:rPr>
          <w:rFonts w:ascii="Arial" w:hAnsi="Arial" w:cs="Arial"/>
          <w:i/>
          <w:sz w:val="20"/>
          <w:szCs w:val="20"/>
        </w:rPr>
        <w:t>m</w:t>
      </w:r>
      <w:r w:rsidRPr="006D199E">
        <w:rPr>
          <w:rFonts w:ascii="Arial" w:hAnsi="Arial" w:cs="Arial"/>
          <w:i/>
          <w:sz w:val="20"/>
          <w:szCs w:val="20"/>
          <w:vertAlign w:val="subscript"/>
        </w:rPr>
        <w:t>z</w:t>
      </w:r>
      <w:r w:rsidRPr="006D199E">
        <w:rPr>
          <w:rFonts w:ascii="Arial" w:hAnsi="Arial" w:cs="Arial"/>
          <w:sz w:val="20"/>
          <w:szCs w:val="20"/>
        </w:rPr>
        <w:t xml:space="preserve"> v příslušné distribuční soustavě, vztažené k celkové dodávce do distribuční soustavy. Velikost ztrát v </w:t>
      </w:r>
      <w:r w:rsidRPr="006D199E">
        <w:rPr>
          <w:rFonts w:ascii="Arial" w:hAnsi="Arial" w:cs="Arial"/>
          <w:i/>
          <w:sz w:val="20"/>
          <w:szCs w:val="20"/>
        </w:rPr>
        <w:t>l-té</w:t>
      </w:r>
      <w:r w:rsidRPr="006D199E">
        <w:rPr>
          <w:rFonts w:ascii="Arial" w:hAnsi="Arial" w:cs="Arial"/>
          <w:sz w:val="20"/>
          <w:szCs w:val="20"/>
        </w:rPr>
        <w:t xml:space="preserve"> distribuční soustavě odhadovaná v hodině </w:t>
      </w:r>
      <w:r w:rsidRPr="006D199E">
        <w:rPr>
          <w:rFonts w:ascii="Arial" w:hAnsi="Arial" w:cs="Arial"/>
          <w:i/>
          <w:sz w:val="20"/>
          <w:szCs w:val="20"/>
        </w:rPr>
        <w:t>h</w:t>
      </w:r>
      <w:r w:rsidRPr="006D199E">
        <w:rPr>
          <w:rFonts w:ascii="Arial" w:hAnsi="Arial" w:cs="Arial"/>
          <w:sz w:val="20"/>
          <w:szCs w:val="20"/>
        </w:rPr>
        <w:t xml:space="preserve"> je dána vztahem:</w:t>
      </w:r>
    </w:p>
    <w:p w14:paraId="6BEBC78C" w14:textId="77777777" w:rsidR="00F75039" w:rsidRDefault="00F75039" w:rsidP="00F75039">
      <w:pPr>
        <w:pStyle w:val="Normln10CharChar"/>
      </w:pPr>
      <w:r>
        <w:t xml:space="preserve"> </w:t>
      </w:r>
      <w:r>
        <w:tab/>
      </w:r>
      <w:r>
        <w:tab/>
      </w:r>
      <w:r w:rsidRPr="00783B46">
        <w:rPr>
          <w:position w:val="-24"/>
        </w:rPr>
        <w:object w:dxaOrig="1620" w:dyaOrig="639" w14:anchorId="6993C5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2pt" o:ole="">
            <v:imagedata r:id="rId5" o:title=""/>
          </v:shape>
          <o:OLEObject Type="Embed" ProgID="Equation.3" ShapeID="_x0000_i1025" DrawAspect="Content" ObjectID="_1694551445" r:id="rId6"/>
        </w:object>
      </w:r>
      <w:r>
        <w:t xml:space="preserve"> ,</w:t>
      </w:r>
    </w:p>
    <w:p w14:paraId="4F532F48" w14:textId="77777777" w:rsidR="006071DA" w:rsidRDefault="006071DA" w:rsidP="00F75039">
      <w:pPr>
        <w:pStyle w:val="Normln10CharChar"/>
        <w:tabs>
          <w:tab w:val="left" w:pos="1418"/>
        </w:tabs>
        <w:ind w:left="2127" w:hanging="1425"/>
      </w:pPr>
    </w:p>
    <w:p w14:paraId="4549CCE0" w14:textId="77777777" w:rsidR="00F75039" w:rsidRDefault="00F75039" w:rsidP="00F75039">
      <w:pPr>
        <w:pStyle w:val="Normln10CharChar"/>
        <w:tabs>
          <w:tab w:val="left" w:pos="1418"/>
        </w:tabs>
        <w:ind w:left="2127" w:hanging="1425"/>
      </w:pPr>
      <w:r>
        <w:t>kde</w:t>
      </w:r>
      <w:r>
        <w:tab/>
      </w:r>
      <w:r>
        <w:rPr>
          <w:i/>
        </w:rPr>
        <w:t>Z</w:t>
      </w:r>
      <w:r>
        <w:rPr>
          <w:i/>
          <w:vertAlign w:val="superscript"/>
        </w:rPr>
        <w:t>h</w:t>
      </w:r>
      <w:r>
        <w:rPr>
          <w:i/>
          <w:vertAlign w:val="subscript"/>
        </w:rPr>
        <w:t>l</w:t>
      </w:r>
      <w:r>
        <w:tab/>
        <w:t xml:space="preserve">jsou ztráty v </w:t>
      </w:r>
      <w:r>
        <w:rPr>
          <w:i/>
        </w:rPr>
        <w:t>l-té</w:t>
      </w:r>
      <w:r>
        <w:t xml:space="preserve"> distribuční soustavě v hodině </w:t>
      </w:r>
      <w:r>
        <w:rPr>
          <w:i/>
        </w:rPr>
        <w:t>h</w:t>
      </w:r>
      <w:r>
        <w:t>,</w:t>
      </w:r>
    </w:p>
    <w:p w14:paraId="3B45808C" w14:textId="77777777" w:rsidR="00F75039" w:rsidRDefault="00F75039" w:rsidP="00E00910">
      <w:pPr>
        <w:pStyle w:val="Normln10CharChar"/>
        <w:ind w:left="2124" w:hanging="706"/>
      </w:pPr>
      <w:r>
        <w:rPr>
          <w:i/>
        </w:rPr>
        <w:lastRenderedPageBreak/>
        <w:t>DC</w:t>
      </w:r>
      <w:r>
        <w:rPr>
          <w:i/>
          <w:vertAlign w:val="superscript"/>
        </w:rPr>
        <w:t>h</w:t>
      </w:r>
      <w:r>
        <w:rPr>
          <w:i/>
          <w:vertAlign w:val="subscript"/>
        </w:rPr>
        <w:t>l</w:t>
      </w:r>
      <w:r>
        <w:tab/>
        <w:t xml:space="preserve">je celková dodávka do </w:t>
      </w:r>
      <w:r>
        <w:rPr>
          <w:i/>
        </w:rPr>
        <w:t>l-té</w:t>
      </w:r>
      <w:r>
        <w:t xml:space="preserve"> distribuční soustavy v hodině </w:t>
      </w:r>
      <w:r>
        <w:rPr>
          <w:i/>
        </w:rPr>
        <w:t>h</w:t>
      </w:r>
      <w:r>
        <w:t>,</w:t>
      </w:r>
      <w:r w:rsidR="00E00910">
        <w:t xml:space="preserve"> která se vypočte z podkladů zasílaných do systému OTE při sestavování bilance této soustavy pro účely zúčtování odchylek</w:t>
      </w:r>
      <w:r w:rsidR="00B316C4">
        <w:t>,</w:t>
      </w:r>
    </w:p>
    <w:p w14:paraId="74614629" w14:textId="77777777" w:rsidR="00F75039" w:rsidRDefault="00F75039" w:rsidP="00F75039">
      <w:pPr>
        <w:ind w:left="2124" w:hanging="708"/>
        <w:jc w:val="both"/>
        <w:rPr>
          <w:rFonts w:ascii="Arial" w:hAnsi="Arial" w:cs="Arial"/>
          <w:sz w:val="20"/>
          <w:szCs w:val="20"/>
        </w:rPr>
      </w:pPr>
      <w:r w:rsidRPr="006D199E">
        <w:rPr>
          <w:rFonts w:ascii="Arial" w:hAnsi="Arial" w:cs="Arial"/>
          <w:i/>
          <w:sz w:val="20"/>
          <w:szCs w:val="20"/>
        </w:rPr>
        <w:t>m</w:t>
      </w:r>
      <w:r w:rsidRPr="006D199E">
        <w:rPr>
          <w:rFonts w:ascii="Arial" w:hAnsi="Arial" w:cs="Arial"/>
          <w:i/>
          <w:sz w:val="20"/>
          <w:szCs w:val="20"/>
          <w:vertAlign w:val="subscript"/>
        </w:rPr>
        <w:t>z</w:t>
      </w:r>
      <w:r w:rsidRPr="00F75039">
        <w:rPr>
          <w:rFonts w:ascii="Arial" w:hAnsi="Arial" w:cs="Arial"/>
          <w:sz w:val="20"/>
          <w:szCs w:val="20"/>
        </w:rPr>
        <w:tab/>
        <w:t xml:space="preserve">je procentní velikost celkových ztrát v l-té distribuční soustavě, </w:t>
      </w:r>
      <w:r w:rsidRPr="00F75039">
        <w:rPr>
          <w:rFonts w:ascii="Arial" w:hAnsi="Arial" w:cs="Arial"/>
          <w:b/>
          <w:sz w:val="20"/>
          <w:szCs w:val="20"/>
        </w:rPr>
        <w:t>definovaná ERÚ</w:t>
      </w:r>
      <w:r w:rsidRPr="00F75039">
        <w:rPr>
          <w:rFonts w:ascii="Arial" w:hAnsi="Arial" w:cs="Arial"/>
          <w:sz w:val="20"/>
          <w:szCs w:val="20"/>
        </w:rPr>
        <w:t>.</w:t>
      </w:r>
      <w:r w:rsidR="00E00910">
        <w:rPr>
          <w:rFonts w:ascii="Arial" w:hAnsi="Arial" w:cs="Arial"/>
          <w:sz w:val="20"/>
          <w:szCs w:val="20"/>
        </w:rPr>
        <w:t xml:space="preserve"> </w:t>
      </w:r>
    </w:p>
    <w:p w14:paraId="52CD81CA" w14:textId="77777777" w:rsidR="00E00910" w:rsidRDefault="00E00910" w:rsidP="00F75039">
      <w:pPr>
        <w:ind w:left="2124" w:hanging="708"/>
        <w:jc w:val="both"/>
        <w:rPr>
          <w:rFonts w:ascii="Arial" w:hAnsi="Arial" w:cs="Arial"/>
          <w:sz w:val="20"/>
          <w:szCs w:val="20"/>
        </w:rPr>
      </w:pPr>
    </w:p>
    <w:p w14:paraId="30F8F5A1" w14:textId="77777777" w:rsidR="00E00910" w:rsidRPr="00F75039" w:rsidRDefault="00E00910" w:rsidP="00F75039">
      <w:pPr>
        <w:ind w:left="2124" w:hanging="708"/>
        <w:jc w:val="both"/>
        <w:rPr>
          <w:rFonts w:ascii="Arial" w:hAnsi="Arial" w:cs="Arial"/>
          <w:sz w:val="20"/>
          <w:szCs w:val="20"/>
        </w:rPr>
      </w:pPr>
    </w:p>
    <w:p w14:paraId="59F3F3C2" w14:textId="77777777" w:rsidR="006071DA" w:rsidRPr="006071DA" w:rsidRDefault="006071DA" w:rsidP="006071DA">
      <w:pPr>
        <w:pStyle w:val="Odstavecseseznamem"/>
        <w:numPr>
          <w:ilvl w:val="0"/>
          <w:numId w:val="9"/>
        </w:numPr>
        <w:spacing w:line="288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Závěry k metodice pro výpočet ztrát</w:t>
      </w:r>
      <w:r w:rsidR="006A10F3">
        <w:rPr>
          <w:rFonts w:ascii="Arial" w:hAnsi="Arial" w:cs="Arial"/>
          <w:b/>
          <w:sz w:val="22"/>
          <w:szCs w:val="22"/>
        </w:rPr>
        <w:t xml:space="preserve"> v regionech TDD</w:t>
      </w:r>
    </w:p>
    <w:p w14:paraId="7EDB443F" w14:textId="77777777" w:rsidR="006071DA" w:rsidRPr="007C51D1" w:rsidRDefault="006071DA" w:rsidP="006071DA">
      <w:pPr>
        <w:pStyle w:val="Odstavecseseznamem"/>
        <w:spacing w:line="288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CD61EDF" w14:textId="77777777" w:rsidR="00036D0B" w:rsidRDefault="00674924" w:rsidP="00674924">
      <w:pPr>
        <w:pStyle w:val="Odstavecseseznamem"/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Základem pro ztráty není opatřená energie, ale celková energie na vstupu do soustavy, tj. dodávky ze zdrojů, import, dodávky ze sousedních soustav, velikost tranzitu na vstupu do soustavy.</w:t>
      </w:r>
    </w:p>
    <w:p w14:paraId="7D6B1FC2" w14:textId="77777777" w:rsidR="00185197" w:rsidRDefault="00185197" w:rsidP="00185197">
      <w:pPr>
        <w:pStyle w:val="Odstavecseseznamem"/>
        <w:spacing w:line="288" w:lineRule="auto"/>
        <w:ind w:left="717"/>
        <w:jc w:val="both"/>
        <w:rPr>
          <w:rFonts w:ascii="Arial" w:hAnsi="Arial" w:cs="Arial"/>
          <w:sz w:val="20"/>
          <w:szCs w:val="20"/>
        </w:rPr>
      </w:pPr>
    </w:p>
    <w:p w14:paraId="11AE5203" w14:textId="77777777" w:rsidR="00674924" w:rsidRDefault="00674924" w:rsidP="00674924">
      <w:pPr>
        <w:pStyle w:val="Odstavecseseznamem"/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Energie na vstupu do soustavy není bilanční saldo, ale energie tekoucí směrem do soustavy.</w:t>
      </w:r>
    </w:p>
    <w:p w14:paraId="678CEC5E" w14:textId="77777777" w:rsidR="00185197" w:rsidRDefault="00185197" w:rsidP="00185197">
      <w:pPr>
        <w:pStyle w:val="Odstavecseseznamem"/>
        <w:spacing w:line="288" w:lineRule="auto"/>
        <w:ind w:left="717"/>
        <w:jc w:val="both"/>
        <w:rPr>
          <w:rFonts w:ascii="Arial" w:hAnsi="Arial" w:cs="Arial"/>
          <w:sz w:val="20"/>
          <w:szCs w:val="20"/>
        </w:rPr>
      </w:pPr>
    </w:p>
    <w:p w14:paraId="2454C398" w14:textId="77777777" w:rsidR="00674924" w:rsidRDefault="00185197" w:rsidP="00674924">
      <w:pPr>
        <w:pStyle w:val="Odstavecseseznamem"/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by byl použit jiný základ pro výpočet ztrát, dochází k hrubé chybě ve stanovení velikosti ztrát, protože </w:t>
      </w:r>
      <w:r w:rsidRPr="00185197">
        <w:rPr>
          <w:rFonts w:ascii="Arial" w:hAnsi="Arial" w:cs="Arial"/>
          <w:sz w:val="20"/>
          <w:szCs w:val="20"/>
        </w:rPr>
        <w:t>procenta míry celkových ztrát určené dle metodiky ERÚ by neodpovídaly základu, ze kterého byly stanoveny.</w:t>
      </w:r>
    </w:p>
    <w:p w14:paraId="62E051D8" w14:textId="77777777" w:rsidR="00185197" w:rsidRDefault="00185197" w:rsidP="00185197">
      <w:pPr>
        <w:pStyle w:val="Odstavecseseznamem"/>
        <w:spacing w:line="288" w:lineRule="auto"/>
        <w:ind w:left="717"/>
        <w:jc w:val="both"/>
        <w:rPr>
          <w:rFonts w:ascii="Arial" w:hAnsi="Arial" w:cs="Arial"/>
          <w:sz w:val="20"/>
          <w:szCs w:val="20"/>
        </w:rPr>
      </w:pPr>
    </w:p>
    <w:p w14:paraId="52B0AB14" w14:textId="77777777" w:rsidR="00185197" w:rsidRDefault="00185197" w:rsidP="00674924">
      <w:pPr>
        <w:pStyle w:val="Odstavecseseznamem"/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185197">
        <w:rPr>
          <w:rFonts w:ascii="Arial" w:hAnsi="Arial" w:cs="Arial"/>
          <w:sz w:val="20"/>
          <w:szCs w:val="20"/>
        </w:rPr>
        <w:t>Použití metodiky ERÚ je zdůvodněné tím, že ztráty stanovené z míry celkových ztrát pro „základ“ elektřiny na vstupu do soustavy jsou uznány regulátorem v proměnných nákladech provozovatele distribuční soustavy. Rozdíl proti skutečným ztrátám pak zůstává ve zbytkovém diagramu a je přiřazen do spotřeby zákazníků s měřením typu C.</w:t>
      </w:r>
    </w:p>
    <w:p w14:paraId="5E9FEF69" w14:textId="77777777" w:rsidR="00185197" w:rsidRPr="00185197" w:rsidRDefault="00185197" w:rsidP="00185197">
      <w:pPr>
        <w:pStyle w:val="Odstavecseseznamem"/>
        <w:rPr>
          <w:rFonts w:ascii="Arial" w:hAnsi="Arial" w:cs="Arial"/>
          <w:sz w:val="20"/>
          <w:szCs w:val="20"/>
        </w:rPr>
      </w:pPr>
    </w:p>
    <w:p w14:paraId="38B0847C" w14:textId="116E9B77" w:rsidR="00185197" w:rsidRDefault="00F17F4B" w:rsidP="00674924">
      <w:pPr>
        <w:pStyle w:val="Odstavecseseznamem"/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lokálních distribučních soustav se využívá jiný postup pro určení ztrát, podrobnosti jsou uvedeny ve vyhlášce ERÚ o Pravidlech trhu s elektřinou (č. </w:t>
      </w:r>
      <w:r w:rsidR="00D9618B">
        <w:rPr>
          <w:rFonts w:ascii="Arial" w:hAnsi="Arial" w:cs="Arial"/>
          <w:sz w:val="20"/>
          <w:szCs w:val="20"/>
        </w:rPr>
        <w:t>408</w:t>
      </w:r>
      <w:r>
        <w:rPr>
          <w:rFonts w:ascii="Arial" w:hAnsi="Arial" w:cs="Arial"/>
          <w:sz w:val="20"/>
          <w:szCs w:val="20"/>
        </w:rPr>
        <w:t>/20</w:t>
      </w:r>
      <w:r w:rsidR="00D9618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 ve znění pozdějších předpisů) v paragrafu 2</w:t>
      </w:r>
      <w:r w:rsidR="00D9618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</w:p>
    <w:p w14:paraId="66D74DC1" w14:textId="77777777" w:rsidR="00F17F4B" w:rsidRPr="00F17F4B" w:rsidRDefault="00F17F4B" w:rsidP="00F17F4B">
      <w:pPr>
        <w:pStyle w:val="Odstavecseseznamem"/>
        <w:rPr>
          <w:rFonts w:ascii="Arial" w:hAnsi="Arial" w:cs="Arial"/>
          <w:sz w:val="20"/>
          <w:szCs w:val="20"/>
        </w:rPr>
      </w:pPr>
    </w:p>
    <w:p w14:paraId="6CCED49B" w14:textId="77777777" w:rsidR="00F17F4B" w:rsidRDefault="00F17F4B" w:rsidP="00674924">
      <w:pPr>
        <w:pStyle w:val="Odstavecseseznamem"/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Mír</w:t>
      </w:r>
      <w:r w:rsidR="006A10F3">
        <w:rPr>
          <w:rFonts w:ascii="Arial" w:hAnsi="Arial" w:cs="Arial"/>
          <w:sz w:val="20"/>
          <w:szCs w:val="20"/>
        </w:rPr>
        <w:t xml:space="preserve">y celkových ztrát jsou ze strany ERÚ vydávány </w:t>
      </w:r>
      <w:r w:rsidR="005829FB">
        <w:rPr>
          <w:rFonts w:ascii="Arial" w:hAnsi="Arial" w:cs="Arial"/>
          <w:sz w:val="20"/>
          <w:szCs w:val="20"/>
        </w:rPr>
        <w:t>každý</w:t>
      </w:r>
      <w:r w:rsidR="006A10F3">
        <w:rPr>
          <w:rFonts w:ascii="Arial" w:hAnsi="Arial" w:cs="Arial"/>
          <w:sz w:val="20"/>
          <w:szCs w:val="20"/>
        </w:rPr>
        <w:t xml:space="preserve"> rok. Zveřejněny jsou v samostatném souboru na webových stránkách OTE, který je přílohou tohoto dokumentu.</w:t>
      </w:r>
    </w:p>
    <w:p w14:paraId="55BF22F0" w14:textId="77777777" w:rsidR="006071DA" w:rsidRDefault="006071DA" w:rsidP="00C9342A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0AC28EE" w14:textId="77777777" w:rsidR="006071DA" w:rsidRDefault="006071DA" w:rsidP="00F62820">
      <w:pPr>
        <w:jc w:val="both"/>
        <w:rPr>
          <w:rFonts w:ascii="Arial" w:hAnsi="Arial" w:cs="Arial"/>
          <w:sz w:val="22"/>
          <w:szCs w:val="22"/>
        </w:rPr>
      </w:pPr>
    </w:p>
    <w:sectPr w:rsidR="006071DA" w:rsidSect="00E60DA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462C"/>
    <w:multiLevelType w:val="hybridMultilevel"/>
    <w:tmpl w:val="1C1235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C1DCC"/>
    <w:multiLevelType w:val="hybridMultilevel"/>
    <w:tmpl w:val="DE62F434"/>
    <w:lvl w:ilvl="0" w:tplc="157236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D5C05"/>
    <w:multiLevelType w:val="hybridMultilevel"/>
    <w:tmpl w:val="EDDE26F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7152D0"/>
    <w:multiLevelType w:val="hybridMultilevel"/>
    <w:tmpl w:val="67C6903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543025"/>
    <w:multiLevelType w:val="hybridMultilevel"/>
    <w:tmpl w:val="788E4D5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125C85D"/>
    <w:multiLevelType w:val="hybridMultilevel"/>
    <w:tmpl w:val="F222A50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7545C6"/>
    <w:multiLevelType w:val="hybridMultilevel"/>
    <w:tmpl w:val="62109F30"/>
    <w:lvl w:ilvl="0" w:tplc="4D540A02">
      <w:numFmt w:val="bullet"/>
      <w:lvlText w:val="•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B7A3C15"/>
    <w:multiLevelType w:val="hybridMultilevel"/>
    <w:tmpl w:val="78CCB3CE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33A17DA"/>
    <w:multiLevelType w:val="hybridMultilevel"/>
    <w:tmpl w:val="7FAC5F1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F47A3C"/>
    <w:multiLevelType w:val="hybridMultilevel"/>
    <w:tmpl w:val="9F502FC6"/>
    <w:lvl w:ilvl="0" w:tplc="325AF9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F13C47"/>
    <w:multiLevelType w:val="hybridMultilevel"/>
    <w:tmpl w:val="73EEE63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BF56557"/>
    <w:multiLevelType w:val="hybridMultilevel"/>
    <w:tmpl w:val="0922C7A8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7A9691F"/>
    <w:multiLevelType w:val="singleLevel"/>
    <w:tmpl w:val="F32C9FB0"/>
    <w:lvl w:ilvl="0">
      <w:start w:val="44"/>
      <w:numFmt w:val="decimal"/>
      <w:pStyle w:val="Seznam1"/>
      <w:lvlText w:val="%1."/>
      <w:lvlJc w:val="center"/>
      <w:pPr>
        <w:tabs>
          <w:tab w:val="num" w:pos="680"/>
        </w:tabs>
        <w:ind w:left="680" w:hanging="368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75E"/>
    <w:rsid w:val="000239E2"/>
    <w:rsid w:val="00036D0B"/>
    <w:rsid w:val="00065B6A"/>
    <w:rsid w:val="00065C29"/>
    <w:rsid w:val="0007475E"/>
    <w:rsid w:val="0008428D"/>
    <w:rsid w:val="000D08CD"/>
    <w:rsid w:val="000D6CF3"/>
    <w:rsid w:val="000F6B48"/>
    <w:rsid w:val="0018374B"/>
    <w:rsid w:val="00185197"/>
    <w:rsid w:val="001A3C24"/>
    <w:rsid w:val="001D23BA"/>
    <w:rsid w:val="001D4B34"/>
    <w:rsid w:val="001E12D6"/>
    <w:rsid w:val="00240704"/>
    <w:rsid w:val="002624D1"/>
    <w:rsid w:val="00273608"/>
    <w:rsid w:val="002B58B0"/>
    <w:rsid w:val="002B74F1"/>
    <w:rsid w:val="002E02D8"/>
    <w:rsid w:val="00300F38"/>
    <w:rsid w:val="00325D21"/>
    <w:rsid w:val="0035476B"/>
    <w:rsid w:val="00371067"/>
    <w:rsid w:val="003C224F"/>
    <w:rsid w:val="003D3A42"/>
    <w:rsid w:val="003D5A74"/>
    <w:rsid w:val="00410123"/>
    <w:rsid w:val="00462AA5"/>
    <w:rsid w:val="00523E85"/>
    <w:rsid w:val="005829FB"/>
    <w:rsid w:val="005866ED"/>
    <w:rsid w:val="005D244B"/>
    <w:rsid w:val="006071DA"/>
    <w:rsid w:val="00661890"/>
    <w:rsid w:val="00674924"/>
    <w:rsid w:val="00695818"/>
    <w:rsid w:val="006A10F3"/>
    <w:rsid w:val="006A1D84"/>
    <w:rsid w:val="006D199E"/>
    <w:rsid w:val="00701CDD"/>
    <w:rsid w:val="00713E4E"/>
    <w:rsid w:val="00766C6A"/>
    <w:rsid w:val="00773710"/>
    <w:rsid w:val="007C51D1"/>
    <w:rsid w:val="007D3FF8"/>
    <w:rsid w:val="008269C4"/>
    <w:rsid w:val="00841B83"/>
    <w:rsid w:val="008711AB"/>
    <w:rsid w:val="008B2D91"/>
    <w:rsid w:val="0094396E"/>
    <w:rsid w:val="009F39C6"/>
    <w:rsid w:val="00A55022"/>
    <w:rsid w:val="00AB7F1B"/>
    <w:rsid w:val="00B008B6"/>
    <w:rsid w:val="00B316C4"/>
    <w:rsid w:val="00B604A0"/>
    <w:rsid w:val="00B850C0"/>
    <w:rsid w:val="00BA0CD0"/>
    <w:rsid w:val="00BE5F14"/>
    <w:rsid w:val="00C30460"/>
    <w:rsid w:val="00C8021F"/>
    <w:rsid w:val="00C8444C"/>
    <w:rsid w:val="00C9342A"/>
    <w:rsid w:val="00D43F37"/>
    <w:rsid w:val="00D600CA"/>
    <w:rsid w:val="00D66FAA"/>
    <w:rsid w:val="00D85FDF"/>
    <w:rsid w:val="00D9618B"/>
    <w:rsid w:val="00DD61CD"/>
    <w:rsid w:val="00E00910"/>
    <w:rsid w:val="00E02DE7"/>
    <w:rsid w:val="00E14742"/>
    <w:rsid w:val="00E60DA7"/>
    <w:rsid w:val="00E8043E"/>
    <w:rsid w:val="00F17F4B"/>
    <w:rsid w:val="00F37C44"/>
    <w:rsid w:val="00F46028"/>
    <w:rsid w:val="00F62820"/>
    <w:rsid w:val="00F75039"/>
    <w:rsid w:val="00F83AF9"/>
    <w:rsid w:val="00FA5DFC"/>
    <w:rsid w:val="00FB01E0"/>
    <w:rsid w:val="00FD0FB7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B9D1B"/>
  <w15:docId w15:val="{1FB1669E-CCDB-4E48-9BD1-0852001D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DE7"/>
    <w:rPr>
      <w:sz w:val="24"/>
      <w:szCs w:val="24"/>
    </w:rPr>
  </w:style>
  <w:style w:type="paragraph" w:styleId="Nadpis3">
    <w:name w:val="heading 3"/>
    <w:basedOn w:val="Default"/>
    <w:next w:val="Default"/>
    <w:qFormat/>
    <w:rsid w:val="00FF0642"/>
    <w:pPr>
      <w:spacing w:before="60" w:after="60"/>
      <w:outlineLvl w:val="2"/>
    </w:pPr>
    <w:rPr>
      <w:rFonts w:cs="Times New Roman"/>
      <w:color w:val="auto"/>
    </w:rPr>
  </w:style>
  <w:style w:type="paragraph" w:styleId="Nadpis4">
    <w:name w:val="heading 4"/>
    <w:basedOn w:val="Default"/>
    <w:next w:val="Default"/>
    <w:qFormat/>
    <w:rsid w:val="00FF0642"/>
    <w:pPr>
      <w:spacing w:before="60" w:after="60"/>
      <w:outlineLvl w:val="3"/>
    </w:pPr>
    <w:rPr>
      <w:rFonts w:cs="Times New Roman"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0CharChar">
    <w:name w:val="Normální 10 Char Char"/>
    <w:rsid w:val="00F75039"/>
    <w:pPr>
      <w:suppressAutoHyphens/>
      <w:spacing w:before="80" w:after="80" w:line="288" w:lineRule="auto"/>
      <w:ind w:firstLine="340"/>
      <w:jc w:val="both"/>
    </w:pPr>
    <w:rPr>
      <w:rFonts w:ascii="Arial" w:hAnsi="Arial"/>
    </w:rPr>
  </w:style>
  <w:style w:type="paragraph" w:customStyle="1" w:styleId="Seznam1">
    <w:name w:val="Seznam 1."/>
    <w:basedOn w:val="Normln10CharChar"/>
    <w:rsid w:val="00F75039"/>
    <w:pPr>
      <w:numPr>
        <w:numId w:val="2"/>
      </w:numPr>
    </w:pPr>
  </w:style>
  <w:style w:type="paragraph" w:customStyle="1" w:styleId="Default">
    <w:name w:val="Default"/>
    <w:rsid w:val="00FF06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0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Názor na stanovování základu pro výpočet ztrát</vt:lpstr>
    </vt:vector>
  </TitlesOfParts>
  <Company>EGÚ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Názor na stanovování základu pro výpočet ztrát</dc:title>
  <dc:creator>Administrator</dc:creator>
  <cp:lastModifiedBy>ote</cp:lastModifiedBy>
  <cp:revision>2</cp:revision>
  <cp:lastPrinted>2004-11-23T06:55:00Z</cp:lastPrinted>
  <dcterms:created xsi:type="dcterms:W3CDTF">2021-09-30T21:58:00Z</dcterms:created>
  <dcterms:modified xsi:type="dcterms:W3CDTF">2021-09-30T21:58:00Z</dcterms:modified>
</cp:coreProperties>
</file>