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7D0EFBB1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1D4D55">
        <w:t>2</w:t>
      </w:r>
    </w:p>
    <w:p w14:paraId="4427FB0F" w14:textId="257F5DA9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1D4D55">
        <w:rPr>
          <w:lang w:val="en-GB"/>
        </w:rPr>
        <w:t>29</w:t>
      </w:r>
      <w:r w:rsidR="00127252">
        <w:rPr>
          <w:lang w:val="en-GB"/>
        </w:rPr>
        <w:t>.</w:t>
      </w:r>
      <w:r w:rsidR="001D4D55">
        <w:rPr>
          <w:lang w:val="en-GB"/>
        </w:rPr>
        <w:t>10</w:t>
      </w:r>
      <w:r w:rsidR="00127252">
        <w:rPr>
          <w:lang w:val="en-GB"/>
        </w:rPr>
        <w:t>.202</w:t>
      </w:r>
      <w:r w:rsidR="00847539">
        <w:rPr>
          <w:lang w:val="en-GB"/>
        </w:rPr>
        <w:t>5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lastRenderedPageBreak/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lastRenderedPageBreak/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lastRenderedPageBreak/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11.10.2009</w:t>
            </w:r>
          </w:p>
        </w:tc>
        <w:tc>
          <w:tcPr>
            <w:tcW w:w="7292" w:type="dxa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31.10.2009</w:t>
            </w:r>
          </w:p>
        </w:tc>
        <w:tc>
          <w:tcPr>
            <w:tcW w:w="7292" w:type="dxa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21.12.2009</w:t>
            </w:r>
          </w:p>
        </w:tc>
        <w:tc>
          <w:tcPr>
            <w:tcW w:w="7292" w:type="dxa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15.3.2010</w:t>
            </w:r>
          </w:p>
        </w:tc>
        <w:tc>
          <w:tcPr>
            <w:tcW w:w="7292" w:type="dxa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Zpráva ISOTEDATA již nebude pro tento účel využívána.</w:t>
            </w:r>
          </w:p>
        </w:tc>
        <w:tc>
          <w:tcPr>
            <w:tcW w:w="787" w:type="dxa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8.12.2010</w:t>
            </w:r>
          </w:p>
        </w:tc>
        <w:tc>
          <w:tcPr>
            <w:tcW w:w="7292" w:type="dxa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Atributy slouží k zadání daných údajů pro obchody, které nejsou zpracovávány v rámci Nettingu.</w:t>
            </w:r>
          </w:p>
        </w:tc>
        <w:tc>
          <w:tcPr>
            <w:tcW w:w="787" w:type="dxa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10.6.2011</w:t>
            </w:r>
          </w:p>
        </w:tc>
        <w:tc>
          <w:tcPr>
            <w:tcW w:w="7292" w:type="dxa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24.10.2011</w:t>
            </w:r>
          </w:p>
        </w:tc>
        <w:tc>
          <w:tcPr>
            <w:tcW w:w="7146" w:type="dxa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13.11.2011</w:t>
            </w:r>
          </w:p>
        </w:tc>
        <w:tc>
          <w:tcPr>
            <w:tcW w:w="7146" w:type="dxa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13.12.2011</w:t>
            </w:r>
          </w:p>
        </w:tc>
        <w:tc>
          <w:tcPr>
            <w:tcW w:w="7146" w:type="dxa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5.11.2012</w:t>
            </w:r>
          </w:p>
        </w:tc>
        <w:tc>
          <w:tcPr>
            <w:tcW w:w="7146" w:type="dxa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lastRenderedPageBreak/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lastRenderedPageBreak/>
              <w:t>VT- Dodávka RE- z VT</w:t>
            </w:r>
          </w:p>
        </w:tc>
        <w:tc>
          <w:tcPr>
            <w:tcW w:w="787" w:type="dxa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lastRenderedPageBreak/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5.10.2017</w:t>
            </w:r>
          </w:p>
        </w:tc>
        <w:tc>
          <w:tcPr>
            <w:tcW w:w="7146" w:type="dxa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lastRenderedPageBreak/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TV35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TP47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4.10.2019</w:t>
            </w:r>
          </w:p>
        </w:tc>
        <w:tc>
          <w:tcPr>
            <w:tcW w:w="7146" w:type="dxa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20.11.2019</w:t>
            </w:r>
          </w:p>
        </w:tc>
        <w:tc>
          <w:tcPr>
            <w:tcW w:w="7146" w:type="dxa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8.1.2020</w:t>
            </w:r>
          </w:p>
        </w:tc>
        <w:tc>
          <w:tcPr>
            <w:tcW w:w="7146" w:type="dxa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23.1.2020</w:t>
            </w:r>
          </w:p>
        </w:tc>
        <w:tc>
          <w:tcPr>
            <w:tcW w:w="7146" w:type="dxa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lastRenderedPageBreak/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7146" w:type="dxa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10.2.2022</w:t>
            </w:r>
          </w:p>
        </w:tc>
        <w:tc>
          <w:tcPr>
            <w:tcW w:w="7146" w:type="dxa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lastRenderedPageBreak/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</w:tcPr>
          <w:p w14:paraId="353FC517" w14:textId="77777777" w:rsidR="00C10634" w:rsidRPr="00F25834" w:rsidRDefault="00C10634" w:rsidP="00617893"/>
        </w:tc>
        <w:tc>
          <w:tcPr>
            <w:tcW w:w="7146" w:type="dxa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</w:tcPr>
          <w:p w14:paraId="242235AF" w14:textId="77777777" w:rsidR="000B4820" w:rsidRDefault="000B4820" w:rsidP="00617893"/>
        </w:tc>
        <w:tc>
          <w:tcPr>
            <w:tcW w:w="7146" w:type="dxa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lastRenderedPageBreak/>
              <w:t>Z – Prostřednictvím zprostředkovatele</w:t>
            </w:r>
          </w:p>
        </w:tc>
        <w:tc>
          <w:tcPr>
            <w:tcW w:w="787" w:type="dxa"/>
            <w:vMerge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</w:tcPr>
          <w:p w14:paraId="57B44390" w14:textId="77777777" w:rsidR="000B4820" w:rsidRDefault="000B4820" w:rsidP="00617893"/>
        </w:tc>
        <w:tc>
          <w:tcPr>
            <w:tcW w:w="7146" w:type="dxa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</w:tcPr>
          <w:p w14:paraId="4E89BE44" w14:textId="77777777" w:rsidR="000B4820" w:rsidRDefault="000B4820" w:rsidP="00617893"/>
        </w:tc>
        <w:tc>
          <w:tcPr>
            <w:tcW w:w="7146" w:type="dxa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</w:tcPr>
          <w:p w14:paraId="305686EE" w14:textId="77777777" w:rsidR="000B4820" w:rsidRDefault="000B4820" w:rsidP="00617893"/>
        </w:tc>
        <w:tc>
          <w:tcPr>
            <w:tcW w:w="7146" w:type="dxa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</w:tcPr>
          <w:p w14:paraId="7219A189" w14:textId="77777777" w:rsidR="000B4820" w:rsidRDefault="000B4820" w:rsidP="00617893"/>
        </w:tc>
        <w:tc>
          <w:tcPr>
            <w:tcW w:w="7146" w:type="dxa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</w:tcPr>
          <w:p w14:paraId="1279AE82" w14:textId="77777777" w:rsidR="000B4820" w:rsidRDefault="000B4820" w:rsidP="00617893"/>
        </w:tc>
        <w:tc>
          <w:tcPr>
            <w:tcW w:w="7146" w:type="dxa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</w:tcPr>
          <w:p w14:paraId="47CF5459" w14:textId="77777777" w:rsidR="000B4820" w:rsidRDefault="000B4820" w:rsidP="00617893"/>
        </w:tc>
        <w:tc>
          <w:tcPr>
            <w:tcW w:w="7146" w:type="dxa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</w:tcPr>
          <w:p w14:paraId="7D3B4906" w14:textId="77777777" w:rsidR="000B4820" w:rsidRDefault="000B4820" w:rsidP="00617893"/>
        </w:tc>
        <w:tc>
          <w:tcPr>
            <w:tcW w:w="7146" w:type="dxa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</w:tcPr>
          <w:p w14:paraId="71A96E9F" w14:textId="77777777" w:rsidR="000B4820" w:rsidRDefault="000B4820" w:rsidP="006D3D7C"/>
        </w:tc>
        <w:tc>
          <w:tcPr>
            <w:tcW w:w="7146" w:type="dxa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</w:tcPr>
          <w:p w14:paraId="6E8D8D20" w14:textId="77777777" w:rsidR="000B4820" w:rsidRDefault="000B4820" w:rsidP="006D3D7C"/>
        </w:tc>
        <w:tc>
          <w:tcPr>
            <w:tcW w:w="7146" w:type="dxa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</w:tcPr>
          <w:p w14:paraId="1B81FB84" w14:textId="77777777" w:rsidR="00D36A48" w:rsidRDefault="00D36A48" w:rsidP="00D36A48"/>
        </w:tc>
        <w:tc>
          <w:tcPr>
            <w:tcW w:w="7146" w:type="dxa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</w:tcPr>
          <w:p w14:paraId="0506607D" w14:textId="77777777" w:rsidR="00D36A48" w:rsidRDefault="00D36A48" w:rsidP="00D36A48"/>
        </w:tc>
        <w:tc>
          <w:tcPr>
            <w:tcW w:w="7146" w:type="dxa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</w:tcPr>
          <w:p w14:paraId="568B3C20" w14:textId="77777777" w:rsidR="00D36A48" w:rsidRDefault="00D36A48" w:rsidP="006D3D7C"/>
        </w:tc>
        <w:tc>
          <w:tcPr>
            <w:tcW w:w="7146" w:type="dxa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</w:tcPr>
          <w:p w14:paraId="54CFECD6" w14:textId="77777777" w:rsidR="00D8348D" w:rsidRDefault="00D8348D" w:rsidP="006D3D7C"/>
        </w:tc>
        <w:tc>
          <w:tcPr>
            <w:tcW w:w="7146" w:type="dxa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</w:tcPr>
          <w:p w14:paraId="0A4233C3" w14:textId="77777777" w:rsidR="0096502C" w:rsidRDefault="0096502C" w:rsidP="006D3D7C"/>
        </w:tc>
        <w:tc>
          <w:tcPr>
            <w:tcW w:w="7146" w:type="dxa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</w:tcPr>
          <w:p w14:paraId="24A263D9" w14:textId="77777777" w:rsidR="0096502C" w:rsidRDefault="0096502C" w:rsidP="006D3D7C"/>
        </w:tc>
        <w:tc>
          <w:tcPr>
            <w:tcW w:w="7146" w:type="dxa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</w:tcPr>
          <w:p w14:paraId="191E8D5B" w14:textId="77777777" w:rsidR="00B96991" w:rsidRDefault="00B96991" w:rsidP="006D3D7C"/>
        </w:tc>
        <w:tc>
          <w:tcPr>
            <w:tcW w:w="7146" w:type="dxa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</w:tcPr>
          <w:p w14:paraId="17B10C02" w14:textId="77777777" w:rsidR="00A828D4" w:rsidRDefault="00A828D4" w:rsidP="006D3D7C"/>
        </w:tc>
        <w:tc>
          <w:tcPr>
            <w:tcW w:w="7146" w:type="dxa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lastRenderedPageBreak/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F01" w14:textId="02FD526A" w:rsidR="007520A3" w:rsidRDefault="007520A3" w:rsidP="00EC3C42">
            <w:r>
              <w:lastRenderedPageBreak/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lastRenderedPageBreak/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lastRenderedPageBreak/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proofErr w:type="spellStart"/>
            <w:r w:rsidRPr="00B930C4">
              <w:t>msg_code</w:t>
            </w:r>
            <w:proofErr w:type="spellEnd"/>
            <w:r>
              <w:t xml:space="preserve"> o hodnoty:</w:t>
            </w:r>
          </w:p>
          <w:p w14:paraId="223CD391" w14:textId="4F618CAE" w:rsidR="00847539" w:rsidRDefault="00847539" w:rsidP="00847539">
            <w:r>
              <w:lastRenderedPageBreak/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proofErr w:type="spellStart"/>
            <w:r w:rsidRPr="00A15355">
              <w:rPr>
                <w:i/>
                <w:iCs/>
              </w:rPr>
              <w:t>msg_code</w:t>
            </w:r>
            <w:proofErr w:type="spellEnd"/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proofErr w:type="spellStart"/>
            <w:r w:rsidR="008E11BE" w:rsidRPr="008E11BE">
              <w:rPr>
                <w:i/>
                <w:iCs/>
              </w:rPr>
              <w:t>Attachment</w:t>
            </w:r>
            <w:proofErr w:type="spellEnd"/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proofErr w:type="spellStart"/>
            <w:r w:rsidRPr="008E11BE">
              <w:t>mixed</w:t>
            </w:r>
            <w:proofErr w:type="spellEnd"/>
            <w:r w:rsidRPr="008E11BE">
              <w:t xml:space="preserve"> </w:t>
            </w:r>
            <w:proofErr w:type="spellStart"/>
            <w:r w:rsidRPr="008E11BE">
              <w:t>true</w:t>
            </w:r>
            <w:proofErr w:type="spellEnd"/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proofErr w:type="gramStart"/>
            <w:r w:rsidRPr="00CB245F">
              <w:t>DT - Požadavek</w:t>
            </w:r>
            <w:proofErr w:type="gramEnd"/>
            <w:r w:rsidRPr="00CB245F">
              <w:t xml:space="preserve">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proofErr w:type="gramStart"/>
            <w:r w:rsidRPr="00CB245F">
              <w:t>DT - Přijetí</w:t>
            </w:r>
            <w:proofErr w:type="gramEnd"/>
            <w:r w:rsidRPr="00CB245F">
              <w:t>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proofErr w:type="gramStart"/>
            <w:r w:rsidRPr="00EA46AD">
              <w:t>DT - Marginální</w:t>
            </w:r>
            <w:proofErr w:type="gramEnd"/>
            <w:r w:rsidRPr="00EA46AD">
              <w:t xml:space="preserve">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proofErr w:type="gramStart"/>
            <w:r w:rsidRPr="00EA46AD">
              <w:t>IDA - Marginální</w:t>
            </w:r>
            <w:proofErr w:type="gramEnd"/>
            <w:r w:rsidRPr="00EA46AD">
              <w:t xml:space="preserve">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73" w14:textId="72DFC07A" w:rsidR="00B347B5" w:rsidRDefault="00131B2E" w:rsidP="00131B2E">
            <w:r>
              <w:t xml:space="preserve">Definice zprávy ISOTEDATA – </w:t>
            </w:r>
            <w:proofErr w:type="spellStart"/>
            <w:r w:rsidR="00B347B5">
              <w:t>přídána</w:t>
            </w:r>
            <w:proofErr w:type="spellEnd"/>
            <w:r w:rsidR="00B347B5">
              <w:t xml:space="preserve">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proofErr w:type="spellStart"/>
            <w:r w:rsidR="00B347B5" w:rsidRPr="00B347B5">
              <w:rPr>
                <w:i/>
                <w:iCs/>
              </w:rPr>
              <w:t>ProfileData</w:t>
            </w:r>
            <w:proofErr w:type="spellEnd"/>
            <w:r w:rsidR="00B347B5">
              <w:t xml:space="preserve">: </w:t>
            </w:r>
          </w:p>
          <w:p w14:paraId="7F412D09" w14:textId="77777777" w:rsidR="00131B2E" w:rsidRDefault="00131B2E" w:rsidP="00131B2E">
            <w:proofErr w:type="gramStart"/>
            <w:r>
              <w:t xml:space="preserve">SC60 - </w:t>
            </w:r>
            <w:r w:rsidRPr="00EA46AD">
              <w:t>Celkové</w:t>
            </w:r>
            <w:proofErr w:type="gramEnd"/>
            <w:r w:rsidRPr="00EA46AD">
              <w:t xml:space="preserve">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lastRenderedPageBreak/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proofErr w:type="gramStart"/>
            <w:r>
              <w:t xml:space="preserve">SC63 - </w:t>
            </w:r>
            <w:r w:rsidRPr="00EA46AD">
              <w:t>Celkové</w:t>
            </w:r>
            <w:proofErr w:type="gramEnd"/>
            <w:r w:rsidRPr="00EA46AD">
              <w:t xml:space="preserve">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proofErr w:type="spellStart"/>
            <w:r>
              <w:t>zue</w:t>
            </w:r>
            <w:proofErr w:type="spellEnd"/>
            <w:r>
              <w:t xml:space="preserve"> – Zařízení pro ukládání energie</w:t>
            </w:r>
          </w:p>
          <w:p w14:paraId="62EB1FD1" w14:textId="77777777" w:rsidR="000A6861" w:rsidRDefault="000A6861" w:rsidP="000A6861">
            <w:proofErr w:type="spellStart"/>
            <w:r>
              <w:t>zue-pwr</w:t>
            </w:r>
            <w:proofErr w:type="spellEnd"/>
            <w:r>
              <w:t xml:space="preserve"> – Instalovaný výkon ZUE</w:t>
            </w:r>
          </w:p>
          <w:p w14:paraId="4BC8D3F9" w14:textId="713090A1" w:rsidR="00B2038D" w:rsidRDefault="000A6861" w:rsidP="000A6861">
            <w:proofErr w:type="spellStart"/>
            <w:r>
              <w:t>zue</w:t>
            </w:r>
            <w:proofErr w:type="spellEnd"/>
            <w:r>
              <w:t>-</w:t>
            </w:r>
            <w:proofErr w:type="gramStart"/>
            <w:r>
              <w:t>cap - Kapacita</w:t>
            </w:r>
            <w:proofErr w:type="gramEnd"/>
            <w:r>
              <w:t xml:space="preserve">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5F12D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C3" w14:textId="77777777" w:rsidR="009C2287" w:rsidRDefault="009C2287" w:rsidP="009C2287">
            <w:r>
              <w:t xml:space="preserve">Definice zprávy MASTERDATA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>
              <w:t>typsrc</w:t>
            </w:r>
            <w:proofErr w:type="spellEnd"/>
            <w:r>
              <w:t xml:space="preserve"> elementu OPM: </w:t>
            </w:r>
          </w:p>
          <w:p w14:paraId="01A57AF0" w14:textId="1DD0C9B7" w:rsidR="000A6861" w:rsidRDefault="009C2287" w:rsidP="009C2287">
            <w:proofErr w:type="gramStart"/>
            <w:r>
              <w:t>ZUE - Zařízení</w:t>
            </w:r>
            <w:proofErr w:type="gramEnd"/>
            <w:r>
              <w:t xml:space="preserve">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C66BF" w14:paraId="05347539" w14:textId="77777777" w:rsidTr="005F12D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3C1" w14:textId="6BD8DEE6" w:rsidR="00EC66BF" w:rsidRDefault="00EC66BF" w:rsidP="00EC66BF">
            <w:r>
              <w:t>29.10.2025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120" w14:textId="77777777" w:rsidR="00EC66BF" w:rsidRPr="00420BEF" w:rsidRDefault="00EC66BF" w:rsidP="00EC66BF">
            <w:r>
              <w:t xml:space="preserve">Definice zprávy ISOTEDATA – byl přidán nový nepovinný atribut v elementu </w:t>
            </w:r>
            <w:r>
              <w:rPr>
                <w:i/>
                <w:iCs/>
              </w:rPr>
              <w:t>Data</w:t>
            </w:r>
            <w:r>
              <w:t>:</w:t>
            </w:r>
          </w:p>
          <w:p w14:paraId="72BFC753" w14:textId="583B377B" w:rsidR="00EC66BF" w:rsidRDefault="00EC66BF" w:rsidP="00EC66BF">
            <w:proofErr w:type="spellStart"/>
            <w:r w:rsidRPr="00A25793">
              <w:t>emergency-state</w:t>
            </w:r>
            <w:proofErr w:type="spellEnd"/>
            <w:r w:rsidR="005F12DD">
              <w:t xml:space="preserve"> </w:t>
            </w:r>
            <w:r>
              <w:t>– Příznak stavu nouze</w:t>
            </w:r>
          </w:p>
          <w:p w14:paraId="424EC159" w14:textId="77777777" w:rsidR="00EC66BF" w:rsidRDefault="00EC66BF" w:rsidP="00EC66BF">
            <w:r>
              <w:t xml:space="preserve">Enumerace pro </w:t>
            </w:r>
            <w:proofErr w:type="spellStart"/>
            <w:r w:rsidRPr="004552BC">
              <w:rPr>
                <w:i/>
                <w:iCs/>
              </w:rPr>
              <w:t>emergency-state</w:t>
            </w:r>
            <w:proofErr w:type="spellEnd"/>
            <w:r>
              <w:t xml:space="preserve">: </w:t>
            </w:r>
          </w:p>
          <w:p w14:paraId="625C5975" w14:textId="77777777" w:rsidR="00EC66BF" w:rsidRDefault="00EC66BF" w:rsidP="00EC66BF">
            <w:r>
              <w:t>ES – Stav nouze</w:t>
            </w:r>
          </w:p>
          <w:p w14:paraId="428472B7" w14:textId="0BE0CD73" w:rsidR="00EC66BF" w:rsidRDefault="00EC66BF" w:rsidP="00EC66BF">
            <w:r>
              <w:t xml:space="preserve">PES – </w:t>
            </w:r>
            <w:r w:rsidRPr="004E022B">
              <w:t>Částečný stav nouze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D34" w14:textId="34B0017C" w:rsidR="00EC66BF" w:rsidRDefault="00EC66BF" w:rsidP="00EC66B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</w:t>
            </w:r>
            <w:r w:rsidR="00CE7429">
              <w:rPr>
                <w:iCs/>
              </w:rPr>
              <w:t>0</w:t>
            </w:r>
            <w:r>
              <w:rPr>
                <w:iCs/>
              </w:rPr>
              <w:t>12</w:t>
            </w: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lastRenderedPageBreak/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lastRenderedPageBreak/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lastRenderedPageBreak/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039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VERZE 1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55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1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911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1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AF63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VERZE 2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EC03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2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87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2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A21A7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D216E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430" w:type="dxa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0" w:type="dxa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2430" w:type="dxa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0" w:type="dxa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2430" w:type="dxa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0" w:type="dxa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2430" w:type="dxa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0" w:type="dxa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430" w:type="dxa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30" w:type="dxa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276</w:t>
            </w:r>
          </w:p>
        </w:tc>
        <w:tc>
          <w:tcPr>
            <w:tcW w:w="2430" w:type="dxa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2430" w:type="dxa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430" w:type="dxa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2430" w:type="dxa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430" w:type="dxa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2430" w:type="dxa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2430" w:type="dxa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2430" w:type="dxa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2430" w:type="dxa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2430" w:type="dxa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2430" w:type="dxa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72952" w:rsidRPr="007F474B" w14:paraId="0FB69EC6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3E96D529" w14:textId="65B6D40B" w:rsidR="00272952" w:rsidRP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</w:tcPr>
          <w:p w14:paraId="3B7C4C2E" w14:textId="37F2E1AA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2A8342B9" w14:textId="36CAFA9A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8A38E06" w14:textId="52139CB6" w:rsidR="00272952" w:rsidRDefault="00272952" w:rsidP="00272952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8C355B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787DF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546F78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45395F" w14:textId="77777777" w:rsid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72952" w:rsidRPr="007F474B" w14:paraId="4BC8510F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BF5BA50" w14:textId="31F19E5C" w:rsidR="00272952" w:rsidRP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</w:tcPr>
          <w:p w14:paraId="4CF98B98" w14:textId="425A4FF9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1C6D1BDD" w14:textId="23FCBD9D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noWrap/>
            <w:vAlign w:val="center"/>
          </w:tcPr>
          <w:p w14:paraId="20D2B85E" w14:textId="142833B4" w:rsidR="00272952" w:rsidRDefault="00272952" w:rsidP="00272952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F7A1C6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6088B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826748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C10422" w14:textId="77777777" w:rsid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72952" w:rsidRPr="007F474B" w14:paraId="1D66D44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5EDA9BF1" w14:textId="1D550CA3" w:rsidR="00272952" w:rsidRP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</w:tcPr>
          <w:p w14:paraId="039D512F" w14:textId="25BFB329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Potvrzení/chyba v  dotazu na vypořádání exportů/importů IDA</w:t>
            </w:r>
          </w:p>
        </w:tc>
        <w:tc>
          <w:tcPr>
            <w:tcW w:w="1530" w:type="dxa"/>
            <w:vAlign w:val="bottom"/>
          </w:tcPr>
          <w:p w14:paraId="45402961" w14:textId="3202F771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98035A5" w14:textId="3B58C6EF" w:rsidR="00272952" w:rsidRDefault="00272952" w:rsidP="00272952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96D8C0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62779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25321D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003E67" w14:textId="77777777" w:rsid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5B69D8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494B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vAlign w:val="bottom"/>
          </w:tcPr>
          <w:p w14:paraId="1DE3332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302DAF4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3AA81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2786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C1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765F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2BD5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0C874D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9C6EF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noWrap/>
            <w:vAlign w:val="bottom"/>
          </w:tcPr>
          <w:p w14:paraId="5FEE6E6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590F08A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CC3D0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DCB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19028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7EE1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9B819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2430" w:type="dxa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2430" w:type="dxa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2430" w:type="dxa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2430" w:type="dxa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2430" w:type="dxa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430" w:type="dxa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2430" w:type="dxa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58234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06335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2430" w:type="dxa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2430" w:type="dxa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E53</w:t>
            </w:r>
          </w:p>
        </w:tc>
        <w:tc>
          <w:tcPr>
            <w:tcW w:w="2430" w:type="dxa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094972A7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EA1BA8">
        <w:instrText>HYPERLINK "XML/CDSCLAIM"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5ADC565F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347DD8B8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EA1BA8">
        <w:instrText>HYPERLINK "XML/CDSDATA"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434BD5A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21D837C7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6233AAB8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79DF9C30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10437954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7850A45B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7265813D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5A675E0E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7D367F98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7577DF">
        <w:instrText>HYPERLINK "XML/CDSIDIS"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0C0B35B9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367E625C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0B6EC914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975D4F">
        <w:instrText>HYPERLINK "XML/CDSINVOICE"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2E1AD7E9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 w:rsidR="006415C5">
        <w:rPr>
          <w:noProof/>
        </w:rPr>
        <w:t>3</w:t>
      </w:r>
      <w:r>
        <w:rPr>
          <w:noProof/>
        </w:rPr>
        <w:fldChar w:fldCharType="end"/>
      </w:r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5pt;height:50.1pt" o:ole="">
            <v:imagedata r:id="rId30" o:title=""/>
          </v:shape>
          <o:OLEObject Type="Embed" ProgID="Excel.Sheet.12" ShapeID="_x0000_i1025" DrawAspect="Icon" ObjectID="_1823334908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156E163B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8636C0">
        <w:instrText>HYPERLINK "XML/CDSLDSREPORT"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AC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9A9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77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39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FB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692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ED9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E5B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51A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778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B7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0A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2D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ACD1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BCF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F8F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0B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C877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FE6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D0AE3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934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1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86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F0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04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40D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12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3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BD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E8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6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B51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1A3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97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FD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82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09D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71A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5F5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C1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51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53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4D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B049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D54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5A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0C34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3B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3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4B37D" w14:textId="77777777" w:rsidR="00205DA3" w:rsidRDefault="00205DA3" w:rsidP="00205DA3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94D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542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8E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73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F7E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B6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3E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E3E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EA3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66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DDE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36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90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FF8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8B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A4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F2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5F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4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1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17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7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C06" w14:textId="77777777" w:rsidR="00205DA3" w:rsidRDefault="00205DA3" w:rsidP="00205DA3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B94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450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5E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864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82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B37B" w14:textId="77777777" w:rsidR="00205DA3" w:rsidRPr="00FC3F8B" w:rsidRDefault="00205DA3" w:rsidP="00205DA3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4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30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A1C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76C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209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EC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F6AF" w14:textId="77777777" w:rsidR="00192092" w:rsidRPr="002A4C95" w:rsidRDefault="00192092" w:rsidP="0019209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4F3F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4FC27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3CF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63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E07B59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7F56" w14:textId="4E25BD79" w:rsidR="00E07B59" w:rsidRDefault="00E07B59" w:rsidP="002716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6FF6" w14:textId="77777777" w:rsidR="00E07B59" w:rsidRPr="002716DB" w:rsidRDefault="00E07B59" w:rsidP="002716DB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E07B59" w:rsidRPr="00192092" w:rsidRDefault="00E07B59" w:rsidP="002716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ED8B" w14:textId="409B4073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D92C" w14:textId="1F0445A9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2136" w14:textId="01F11B9F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DF3F" w14:textId="19BD5138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27E42AEE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8636C0">
        <w:instrText>HYPERLINK "XML/CDSREQ"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32ADC34C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6D5117C0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8636C0">
        <w:instrText>HYPERLINK "XML/CDSSYSTSERVREPORT"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7F5AAA44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4F9F78FC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"XML/COMMONMARKETREQ"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5A8FA2CC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5B6E6F">
        <w:instrText>HYPERLINK "XML/ISOTEDATA"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6A5BDF84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>Požadavek</w:t>
            </w:r>
            <w:proofErr w:type="gramEnd"/>
            <w:r w:rsidR="008342FA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>Požadavek</w:t>
            </w:r>
            <w:proofErr w:type="gramEnd"/>
            <w:r w:rsidR="00971250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779FCF15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034F1E">
        <w:instrText>HYPERLINK "XML/ISOTEREQ"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2950" w14:textId="77777777" w:rsidR="008F589E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7512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0F4" w14:textId="77777777" w:rsidR="008F589E" w:rsidRPr="00F56B6A" w:rsidRDefault="008F589E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Opis zprávy s požadavkem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BE037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2CB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32F5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2B3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8E1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CC6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A3C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EE0F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81CE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62A3D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4A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C92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1CD6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28BD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33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CAE7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962A3D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93B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5FCC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069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73D1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F132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9BD9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90A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1E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A59B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15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524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DF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A7E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73A6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72E8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12AF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ACB4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22CD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D35D4A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EDD6" w14:textId="13FB7FE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FCB8" w14:textId="067C3906" w:rsidR="00D35D4A" w:rsidRPr="001468DA" w:rsidRDefault="00D35D4A" w:rsidP="00CF3A5E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C761" w14:textId="66A44536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B858" w14:textId="470024FF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EC39" w14:textId="6B98388E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21E5" w14:textId="49BE8B5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E8D4" w14:textId="091CF81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E20F" w14:textId="4A91FD4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3983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04D2" w14:textId="5DAE904A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CC8E6" w14:textId="0CE25E9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40CE1" w14:textId="6354B747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99D" w14:textId="0195081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E12E" w14:textId="407A03F2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995E" w14:textId="23F63368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AE7F" w14:textId="371EE41D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2802" w14:textId="37220361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7D0" w14:textId="2EE867B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D35D4A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EF4" w14:textId="3C05D35D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60A3" w14:textId="49CFE79F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751" w14:textId="47F5A171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0EB" w14:textId="353F4E5C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AFD4" w14:textId="58ADDEE3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244B" w14:textId="214C7E8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6C2D" w14:textId="099A2A8A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ABE0" w14:textId="1B66ECF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8CB1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0D63" w14:textId="569D9992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5374" w14:textId="771947B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3D5D" w14:textId="1FE0EA8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5D73CE10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034F1E">
        <w:instrText>HYPERLINK "XML/MASTERDATA"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620F71E4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3DE5C9CD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2649B9D7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191231FF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3D2E3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CF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9F1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E76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533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 xml:space="preserve">Kmenová data sk. sdílení </w:t>
            </w:r>
            <w:proofErr w:type="spellStart"/>
            <w:r w:rsidRPr="00301490">
              <w:rPr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E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C66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D4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A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E7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644D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61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824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781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13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91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5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D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141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6CE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BC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DB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8D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12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346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48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D91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39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37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32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29C7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743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67C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34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57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4D3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1C0E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2A0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DC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8D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7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CBDE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01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40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5936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AF5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4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7A8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8A1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C0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96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0D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2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7CE9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D5CE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0D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287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6C6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76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D93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D16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F54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23C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3417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C3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1039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E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5A7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513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82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A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1E07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ADD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20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9C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F6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81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5EC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C08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6EA2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2A66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4C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056D1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C7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F58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B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BF1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261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B4300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354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2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083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A3C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7B8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C65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2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D9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F5B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EB6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8E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4768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44E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5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A1C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6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86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E82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B2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7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368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7B1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14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C9D5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9B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10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264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10DB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9E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B2EE" w14:textId="77777777" w:rsidR="00FC0FD8" w:rsidRDefault="00FC0FD8" w:rsidP="00FC0FD8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29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D9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B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DE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2A17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9431" w14:textId="77777777" w:rsidR="00FC0FD8" w:rsidRPr="00561F3E" w:rsidDel="00B707B4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DB7D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363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E1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B0E8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FE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9F06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710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478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D7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821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9C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0EDF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31A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35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54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0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D4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8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1A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CF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E40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C72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749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E739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672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F6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A9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B91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0D5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D4F0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1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6D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92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3A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79E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2130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DA6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C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C52A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0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3024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AB2B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85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B3D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94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99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857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4587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2C53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55A7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B7E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7A7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7930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89A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E5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A2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B4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1410F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E3F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26B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812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107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31E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1283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9AF5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7030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A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1B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75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E2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68E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F46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VERZE 1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95C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6A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EC9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137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88C8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VERZE 2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30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0FF6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641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7D3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A4E2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5D3F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0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A6D8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5E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9BB1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52FE4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39E" w14:textId="3D295FAD" w:rsidR="00352FE4" w:rsidRPr="00F40D1D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B880" w14:textId="5B1BC93A" w:rsidR="00352FE4" w:rsidRPr="00F40D1D" w:rsidRDefault="00352FE4" w:rsidP="00352FE4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FA1E" w14:textId="2E7CB4F5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0EDE" w14:textId="6AB7A836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1671" w14:textId="22BD212C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C4F1" w14:textId="4CAE4AA2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66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A43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DAB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B1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09E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0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FC0FD8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E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80B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AF3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F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617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16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FC0FD8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E64F" w14:textId="77777777" w:rsidR="00FC0FD8" w:rsidRDefault="00FC0FD8" w:rsidP="00FC0FD8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252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91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50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0F8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FC0FD8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9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CF5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E7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3B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08E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125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AD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E8C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E7C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697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7A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63B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25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32FF3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3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1E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88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8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3F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8937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CB0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F4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5B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AA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A6" w14:textId="77777777" w:rsidR="00FC0FD8" w:rsidRPr="008904CD" w:rsidRDefault="00FC0FD8" w:rsidP="00FC0FD8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3E0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04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D6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17D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49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62F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6EC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E3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CD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0E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D9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BAA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DF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81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AD8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7D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4EB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67FDA" w14:textId="77777777" w:rsidR="00FC0FD8" w:rsidRDefault="00FC0FD8" w:rsidP="00FC0FD8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789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A4C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4C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3B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B19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9F5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8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D4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20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AC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5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7F64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18B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5E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B5F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B0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2B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D8F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B40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2A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BA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82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EA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B6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EA2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71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BB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607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79A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BAB7" w14:textId="77777777" w:rsidR="00FC0FD8" w:rsidRDefault="00FC0FD8" w:rsidP="00FC0FD8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C24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79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536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69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19209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A6C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1AD9" w14:textId="77777777" w:rsidR="00192092" w:rsidRPr="002A4C95" w:rsidRDefault="00192092" w:rsidP="0019209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A2D0" w14:textId="77777777" w:rsidR="00192092" w:rsidRPr="008904CD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F74D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3AF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2AF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1C07" w14:textId="17EE91E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0AAA" w14:textId="13ADE7C0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F898" w14:textId="56483FCC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BB15" w14:textId="4B80DEF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E2A2" w14:textId="29F70BF1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17B4" w14:textId="0591DE5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EDB6" w14:textId="36600E0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3057" w14:textId="11A06953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4F8D" w14:textId="230DCFDB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94D0" w14:textId="480B758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3B911" w14:textId="7AA80E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A248" w14:textId="1C409A78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56C6" w14:textId="1E07FF5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E245" w14:textId="51F54DF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199B" w14:textId="63EBD208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D0D" w14:textId="7572A4F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78FA" w14:textId="4A2F7A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CCB6" w14:textId="1A7AD07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D19A" w14:textId="33DB4E5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F024" w14:textId="4ABC30FA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5DD5" w14:textId="68E5761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C87" w14:textId="749C7B3C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D351" w14:textId="32309F5D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9009" w14:textId="0E5E824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C76E" w14:textId="4C5309D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DA33" w14:textId="77777777" w:rsidR="00572725" w:rsidRPr="001E1CF6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CD7" w14:textId="45EF390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01B2" w14:textId="5AB8F9A4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B81E" w14:textId="054E0197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86B" w14:textId="1C9FBEB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1AD9" w14:textId="12354471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E6D9" w14:textId="72D09728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401E1" w14:textId="056A9224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FB5" w14:textId="3765646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AB8" w14:textId="47C9940A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B81F" w14:textId="1B412E8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DFD" w14:textId="7718333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8243" w14:textId="4743DBC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0586" w14:textId="64751A16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6EF" w14:textId="2EA3DF25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11F09" w14:textId="5FB454F3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8FA8" w14:textId="242BC532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6F5" w14:textId="055E256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285" w14:textId="77056EF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706" w14:textId="687C3152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91CB" w14:textId="7B4CD27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193F" w14:textId="11513184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7381" w14:textId="602420A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3B32" w14:textId="7D479A06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20F6652D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38E4" w14:textId="7B674F08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BA6" w14:textId="2715DC8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2CDA" w14:textId="35C64B9B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6241AC7D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9FD0" w14:textId="070E38AE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B42C" w14:textId="0A8D9E5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CC02" w14:textId="7BDC0A7E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245" w14:textId="56E906E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06DD" w14:textId="29B74BBC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3628" w14:textId="08521FB1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BEE" w14:textId="7E365B7B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9476" w14:textId="2049E17A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6C40" w14:textId="191BA434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B6FB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BF5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87F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C2F" w14:textId="7E03AD13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96F4" w14:textId="2801C18D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B3E2" w14:textId="01507CE3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A32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8534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EFA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0AA0" w14:textId="649CD141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9FB3" w14:textId="1B456539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E5E" w14:textId="7B09D0F8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BE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025D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96F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8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319A" w14:textId="1192F1E8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 w:rsidR="00FD53FC"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8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0A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3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5F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AC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A21" w14:textId="77777777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1A6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1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9C6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5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FA59" w14:textId="4D571457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177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7F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16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609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58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D6D50" w14:textId="20B43D40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855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D9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40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7D1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11B" w14:textId="77777777" w:rsidR="00FC0FD8" w:rsidRPr="00382DD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A51FA" w14:textId="3D9E8C74" w:rsidR="00FC0FD8" w:rsidRPr="00382DD3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45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C70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AB9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5D8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F621" w14:textId="77777777" w:rsidR="00FC0FD8" w:rsidRDefault="00FC0FD8" w:rsidP="00FC0FD8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28E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FD3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F1A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EA4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3A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03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E7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16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9C3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3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214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58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6B46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53D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D5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83E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A0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24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890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443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AF9EE" w14:textId="03107CE5" w:rsidR="00FC0FD8" w:rsidRDefault="00AA00A0" w:rsidP="00FC0FD8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>DT - Přijetí</w:t>
            </w:r>
            <w:proofErr w:type="gramEnd"/>
            <w:r w:rsidRPr="00AA00A0">
              <w:rPr>
                <w:sz w:val="20"/>
                <w:szCs w:val="20"/>
              </w:rPr>
              <w:t>/chyba</w:t>
            </w:r>
            <w:r w:rsidR="00FC0FD8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FF8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65E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784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542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ED48" w14:textId="1E59E99E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C8C2" w14:textId="269B504E" w:rsidR="00971250" w:rsidRDefault="00AA00A0" w:rsidP="005E292E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 w:rsidR="00971250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A001" w14:textId="2D5586FA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2500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448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B2B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DE6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A7A0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45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921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601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FCC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55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8F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2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D75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A7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02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CC7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7AB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DD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DD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699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00F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D76C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46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63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EED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F4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BE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04B1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B1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B5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F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17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390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51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4F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E268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8C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9AC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3DD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B7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102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9C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610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A92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B3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0B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81CE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7CD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E0E6" w14:textId="77777777" w:rsidR="00FC0FD8" w:rsidRDefault="00FC0FD8" w:rsidP="00FC0F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9CDD" w14:textId="77777777" w:rsidR="00FC0FD8" w:rsidRDefault="00FC0FD8" w:rsidP="00FC0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4C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3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242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01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D1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F5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919A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AB1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85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FF9F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427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AE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7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8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46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2A18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A5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BD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2A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D1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C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BB53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058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2C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A76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B3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4EF0" w14:textId="6926CD66" w:rsidR="00FC0FD8" w:rsidRDefault="00FC0FD8" w:rsidP="00FC0FD8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2E1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3D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1DF7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53A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3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7C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0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848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8C9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647" w14:textId="77777777" w:rsidR="00FC0FD8" w:rsidRPr="000C4E1E" w:rsidRDefault="00FC0FD8" w:rsidP="00FC0FD8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76C5" w14:textId="1C9289BB" w:rsidR="00FC0FD8" w:rsidRPr="000C4E1E" w:rsidRDefault="00FC0FD8" w:rsidP="00FC0FD8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72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D6D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200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A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8F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9987" w14:textId="77777777" w:rsidR="00FC0FD8" w:rsidRDefault="00FC0FD8" w:rsidP="00FC0FD8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B0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8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D74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3E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4DA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BF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B4B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942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29D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8A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066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41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AE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DAB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D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F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29E18" w14:textId="77777777" w:rsidR="00FC0FD8" w:rsidRPr="00A30ACC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DE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94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52D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8F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D5526" w14:textId="105F8E94" w:rsidR="00FC0FD8" w:rsidRDefault="00FC0FD8" w:rsidP="00FC0FD8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654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1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22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8F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E30F" w14:textId="6A913E83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9DEC" w14:textId="785E98DE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6104" w14:textId="03993465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C113" w14:textId="277BA5F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6E207" w14:textId="4D99B836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DE24" w14:textId="1D3CC92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872C" w14:textId="5490ED0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9031" w14:textId="76566898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8ADC" w14:textId="68283B7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D27F" w14:textId="6A7EC7B4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40AEE" w14:textId="1CC0456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4086" w14:textId="1733EB7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706335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3D4B" w14:textId="192FC4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FBE" w14:textId="57A3BFDF" w:rsidR="00706335" w:rsidRDefault="00706335" w:rsidP="00706335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D710" w14:textId="463F6123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4EE4" w14:textId="042CBE8F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3EA5" w14:textId="43972E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1428" w14:textId="19EFC557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4D651E4F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034F1E">
        <w:instrText>HYPERLINK "XML/RESPONSE"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329942E1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72451356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034F1E">
        <w:instrText>HYPERLINK "XML/TDD"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0743D8BB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4865C0B3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034F1E">
        <w:instrText>HYPERLINK "XML/TEMPERATURE"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78ED1445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65EE3A2F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34CD82B9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5E3B1B0C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95496AB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40076AF5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40992E8F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034F1E">
        <w:instrText>HYPERLINK "XML/SFVOTTDD"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02B15611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7CEE0D76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034F1E">
        <w:instrText>HYPERLINK "XML/SFVOTCONFDATA"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03558EDB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034F1E">
        <w:instrText>HYPERLINK "XML/SFVOTEXCHRATE"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3EB86C2A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034F1E">
        <w:instrText>HYPERLINK "XML/SFVOTLIMITCHANGE"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7892ED04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034F1E">
        <w:instrText>HYPERLINK "XML/SFVOTLIMITS"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653B19C3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034F1E">
        <w:instrText>HYPERLINK "XML/SFVOTTDDNETT"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51950354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034F1E">
        <w:instrText>HYPERLINK "XML/SFVOTPSK"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A35B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VERZE 1 – NETTING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A375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VERZE 2 – NETTING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35336453" w:rsidR="00913427" w:rsidRDefault="004325A1" w:rsidP="004325A1">
      <w:pPr>
        <w:rPr>
          <w:rStyle w:val="Hypertextovodkaz"/>
        </w:rPr>
      </w:pPr>
      <w:r>
        <w:t>Kompletní soubor SFVOTREQ ve formátu .</w:t>
      </w:r>
      <w:proofErr w:type="spellStart"/>
      <w:r>
        <w:t>xsd</w:t>
      </w:r>
      <w:proofErr w:type="spellEnd"/>
      <w:r>
        <w:t xml:space="preserve"> je uložen </w:t>
      </w:r>
      <w:proofErr w:type="spellStart"/>
      <w:r>
        <w:t>zde:</w:t>
      </w:r>
      <w:hyperlink r:id="rId42" w:tooltip="MASTERDATA.xsd" w:history="1">
        <w:r>
          <w:rPr>
            <w:rStyle w:val="Hypertextovodkaz"/>
          </w:rPr>
          <w:t>XML</w:t>
        </w:r>
        <w:proofErr w:type="spellEnd"/>
        <w:r>
          <w:rPr>
            <w:rStyle w:val="Hypertextovodkaz"/>
          </w:rPr>
          <w:t>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4D3A137D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0792C06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475C" w14:textId="77777777" w:rsidR="00A02E73" w:rsidRDefault="004E5B61" w:rsidP="00A02E73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VERZE 1 – NETTING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0A55" w14:textId="77777777" w:rsidR="00A02E73" w:rsidRPr="00E638DA" w:rsidRDefault="004E5B61" w:rsidP="00A02E73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VERZE 2 – NETTING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</w:tbl>
    <w:p w14:paraId="6551EB83" w14:textId="77777777" w:rsidR="004E5B61" w:rsidRDefault="004E5B61" w:rsidP="004E5B61"/>
    <w:p w14:paraId="12C4F4A8" w14:textId="59B1CEA6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4976712D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377EBBB9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52556912" w:rsidR="000814CA" w:rsidRDefault="000814CA" w:rsidP="000814CA">
      <w:pPr>
        <w:rPr>
          <w:rStyle w:val="Hypertextovodkaz"/>
        </w:rPr>
      </w:pPr>
      <w:r>
        <w:t>Kompletní soubory OTE_GLOBALS a XMLDSIG-CORE-</w:t>
      </w:r>
      <w:proofErr w:type="gramStart"/>
      <w:r>
        <w:t>SCHEMA  ve</w:t>
      </w:r>
      <w:proofErr w:type="gramEnd"/>
      <w:r>
        <w:t xml:space="preserve"> formátu .xsd jsou uloženy zde:  </w:t>
      </w:r>
      <w:hyperlink r:id="rId48" w:tooltip="MASTERDATA.xsd" w:history="1">
        <w:r w:rsidR="00AD3F8C">
          <w:rPr>
            <w:rStyle w:val="Hypertextovodkaz"/>
          </w:rPr>
          <w:t>XML/</w:t>
        </w:r>
        <w:proofErr w:type="spellStart"/>
        <w:r w:rsidR="00AD3F8C">
          <w:rPr>
            <w:rStyle w:val="Hypertextovodkaz"/>
          </w:rPr>
          <w:t>Globals</w:t>
        </w:r>
        <w:proofErr w:type="spellEnd"/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09141964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0EACFD36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"CIM/Globals" \o "MASTERDATA.xsd"</w:instrText>
      </w:r>
      <w:r w:rsidRPr="00CC4086">
        <w:fldChar w:fldCharType="separate"/>
      </w:r>
      <w:r w:rsidRPr="00CC4086">
        <w:rPr>
          <w:rStyle w:val="Hypertextovodkaz"/>
        </w:rPr>
        <w:t>CIM\</w:t>
      </w:r>
      <w:proofErr w:type="spellStart"/>
      <w:r w:rsidRPr="00CC4086">
        <w:rPr>
          <w:rStyle w:val="Hypertextovodkaz"/>
        </w:rPr>
        <w:t>Globals</w:t>
      </w:r>
      <w:proofErr w:type="spellEnd"/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5434" w14:textId="77777777" w:rsidR="006D6EEF" w:rsidRDefault="006D6EEF">
      <w:r>
        <w:separator/>
      </w:r>
    </w:p>
  </w:endnote>
  <w:endnote w:type="continuationSeparator" w:id="0">
    <w:p w14:paraId="19636AFD" w14:textId="77777777" w:rsidR="006D6EEF" w:rsidRDefault="006D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FF94" w14:textId="77777777" w:rsidR="006D6EEF" w:rsidRDefault="006D6EEF">
      <w:r>
        <w:separator/>
      </w:r>
    </w:p>
  </w:footnote>
  <w:footnote w:type="continuationSeparator" w:id="0">
    <w:p w14:paraId="4402ACA6" w14:textId="77777777" w:rsidR="006D6EEF" w:rsidRDefault="006D6EEF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3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3"/>
  </w:num>
  <w:num w:numId="4" w16cid:durableId="1513449143">
    <w:abstractNumId w:val="13"/>
  </w:num>
  <w:num w:numId="5" w16cid:durableId="1080909945">
    <w:abstractNumId w:val="36"/>
  </w:num>
  <w:num w:numId="6" w16cid:durableId="1227761326">
    <w:abstractNumId w:val="25"/>
  </w:num>
  <w:num w:numId="7" w16cid:durableId="1728141284">
    <w:abstractNumId w:val="20"/>
  </w:num>
  <w:num w:numId="8" w16cid:durableId="218908769">
    <w:abstractNumId w:val="33"/>
  </w:num>
  <w:num w:numId="9" w16cid:durableId="1748645187">
    <w:abstractNumId w:val="19"/>
  </w:num>
  <w:num w:numId="10" w16cid:durableId="381944648">
    <w:abstractNumId w:val="17"/>
  </w:num>
  <w:num w:numId="11" w16cid:durableId="842745686">
    <w:abstractNumId w:val="21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0"/>
  </w:num>
  <w:num w:numId="15" w16cid:durableId="1534538976">
    <w:abstractNumId w:val="8"/>
  </w:num>
  <w:num w:numId="16" w16cid:durableId="1605961488">
    <w:abstractNumId w:val="27"/>
  </w:num>
  <w:num w:numId="17" w16cid:durableId="234633798">
    <w:abstractNumId w:val="24"/>
  </w:num>
  <w:num w:numId="18" w16cid:durableId="431634733">
    <w:abstractNumId w:val="7"/>
  </w:num>
  <w:num w:numId="19" w16cid:durableId="550190551">
    <w:abstractNumId w:val="32"/>
  </w:num>
  <w:num w:numId="20" w16cid:durableId="1223448040">
    <w:abstractNumId w:val="31"/>
  </w:num>
  <w:num w:numId="21" w16cid:durableId="1944218289">
    <w:abstractNumId w:val="34"/>
  </w:num>
  <w:num w:numId="22" w16cid:durableId="785395218">
    <w:abstractNumId w:val="6"/>
  </w:num>
  <w:num w:numId="23" w16cid:durableId="294069280">
    <w:abstractNumId w:val="18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5"/>
  </w:num>
  <w:num w:numId="31" w16cid:durableId="1400205966">
    <w:abstractNumId w:val="12"/>
  </w:num>
  <w:num w:numId="32" w16cid:durableId="44722361">
    <w:abstractNumId w:val="15"/>
  </w:num>
  <w:num w:numId="33" w16cid:durableId="158473427">
    <w:abstractNumId w:val="22"/>
  </w:num>
  <w:num w:numId="34" w16cid:durableId="812065860">
    <w:abstractNumId w:val="9"/>
  </w:num>
  <w:num w:numId="35" w16cid:durableId="1240290485">
    <w:abstractNumId w:val="16"/>
  </w:num>
  <w:num w:numId="36" w16cid:durableId="1288007654">
    <w:abstractNumId w:val="26"/>
  </w:num>
  <w:num w:numId="37" w16cid:durableId="941954631">
    <w:abstractNumId w:val="28"/>
  </w:num>
  <w:num w:numId="38" w16cid:durableId="1866556804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5B"/>
    <w:rsid w:val="000321E2"/>
    <w:rsid w:val="00034274"/>
    <w:rsid w:val="00034F1E"/>
    <w:rsid w:val="00035D28"/>
    <w:rsid w:val="000371EB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3550"/>
    <w:rsid w:val="00064035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4C"/>
    <w:rsid w:val="000D3670"/>
    <w:rsid w:val="000D38EA"/>
    <w:rsid w:val="000D54F7"/>
    <w:rsid w:val="000D5D30"/>
    <w:rsid w:val="000E0F01"/>
    <w:rsid w:val="000E1261"/>
    <w:rsid w:val="000E1E54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F07"/>
    <w:rsid w:val="001012CB"/>
    <w:rsid w:val="001013A4"/>
    <w:rsid w:val="00101A10"/>
    <w:rsid w:val="001027AD"/>
    <w:rsid w:val="00102BC8"/>
    <w:rsid w:val="00105379"/>
    <w:rsid w:val="001061DF"/>
    <w:rsid w:val="0010715B"/>
    <w:rsid w:val="00111FDD"/>
    <w:rsid w:val="00112244"/>
    <w:rsid w:val="00113147"/>
    <w:rsid w:val="001146F9"/>
    <w:rsid w:val="00114CF1"/>
    <w:rsid w:val="00115E28"/>
    <w:rsid w:val="00117B9F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89F"/>
    <w:rsid w:val="001553C9"/>
    <w:rsid w:val="001600C1"/>
    <w:rsid w:val="0016325E"/>
    <w:rsid w:val="00163328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592"/>
    <w:rsid w:val="001A5308"/>
    <w:rsid w:val="001A555D"/>
    <w:rsid w:val="001A59BE"/>
    <w:rsid w:val="001A65E0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142D"/>
    <w:rsid w:val="001C1DF8"/>
    <w:rsid w:val="001C2605"/>
    <w:rsid w:val="001C32F3"/>
    <w:rsid w:val="001C4AA5"/>
    <w:rsid w:val="001C4E94"/>
    <w:rsid w:val="001C5830"/>
    <w:rsid w:val="001D1049"/>
    <w:rsid w:val="001D2757"/>
    <w:rsid w:val="001D3414"/>
    <w:rsid w:val="001D4D55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28EB"/>
    <w:rsid w:val="002038F3"/>
    <w:rsid w:val="00205B77"/>
    <w:rsid w:val="00205DA3"/>
    <w:rsid w:val="00205DA8"/>
    <w:rsid w:val="00206565"/>
    <w:rsid w:val="00207934"/>
    <w:rsid w:val="00210DEB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4037"/>
    <w:rsid w:val="00256BDC"/>
    <w:rsid w:val="00256D9D"/>
    <w:rsid w:val="002571BD"/>
    <w:rsid w:val="002602D4"/>
    <w:rsid w:val="002607AC"/>
    <w:rsid w:val="00261767"/>
    <w:rsid w:val="0026178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4F73"/>
    <w:rsid w:val="002753CB"/>
    <w:rsid w:val="0027547E"/>
    <w:rsid w:val="00275A8D"/>
    <w:rsid w:val="0027643C"/>
    <w:rsid w:val="00276D0E"/>
    <w:rsid w:val="00276DAE"/>
    <w:rsid w:val="00277DF6"/>
    <w:rsid w:val="0028270F"/>
    <w:rsid w:val="002827B7"/>
    <w:rsid w:val="00283FC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4462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42AC"/>
    <w:rsid w:val="00384CA3"/>
    <w:rsid w:val="00385F27"/>
    <w:rsid w:val="00390B74"/>
    <w:rsid w:val="003911E9"/>
    <w:rsid w:val="003913CD"/>
    <w:rsid w:val="00391505"/>
    <w:rsid w:val="0039350A"/>
    <w:rsid w:val="00394107"/>
    <w:rsid w:val="00395D86"/>
    <w:rsid w:val="0039718E"/>
    <w:rsid w:val="003A0948"/>
    <w:rsid w:val="003A17FD"/>
    <w:rsid w:val="003A2D58"/>
    <w:rsid w:val="003A348E"/>
    <w:rsid w:val="003A34AF"/>
    <w:rsid w:val="003A369D"/>
    <w:rsid w:val="003A459C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25E7"/>
    <w:rsid w:val="003C2FAC"/>
    <w:rsid w:val="003C39B9"/>
    <w:rsid w:val="003C4752"/>
    <w:rsid w:val="003C49CE"/>
    <w:rsid w:val="003C5450"/>
    <w:rsid w:val="003C547F"/>
    <w:rsid w:val="003C6B56"/>
    <w:rsid w:val="003D09EB"/>
    <w:rsid w:val="003D0A1B"/>
    <w:rsid w:val="003D0BD4"/>
    <w:rsid w:val="003D124D"/>
    <w:rsid w:val="003D1CC1"/>
    <w:rsid w:val="003D4550"/>
    <w:rsid w:val="003D474E"/>
    <w:rsid w:val="003D541B"/>
    <w:rsid w:val="003D61C3"/>
    <w:rsid w:val="003D74A6"/>
    <w:rsid w:val="003D763C"/>
    <w:rsid w:val="003E20F8"/>
    <w:rsid w:val="003E3241"/>
    <w:rsid w:val="003E3563"/>
    <w:rsid w:val="003E4703"/>
    <w:rsid w:val="003E61B3"/>
    <w:rsid w:val="003F0285"/>
    <w:rsid w:val="003F1610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46E7"/>
    <w:rsid w:val="00434848"/>
    <w:rsid w:val="004349BE"/>
    <w:rsid w:val="0043538B"/>
    <w:rsid w:val="00440568"/>
    <w:rsid w:val="004450FB"/>
    <w:rsid w:val="004452FA"/>
    <w:rsid w:val="004454D5"/>
    <w:rsid w:val="0044572F"/>
    <w:rsid w:val="00447894"/>
    <w:rsid w:val="00447BAE"/>
    <w:rsid w:val="00450B72"/>
    <w:rsid w:val="00451267"/>
    <w:rsid w:val="0045168A"/>
    <w:rsid w:val="00455B55"/>
    <w:rsid w:val="00455CD0"/>
    <w:rsid w:val="0045732C"/>
    <w:rsid w:val="00460B6D"/>
    <w:rsid w:val="00461815"/>
    <w:rsid w:val="00462D0F"/>
    <w:rsid w:val="004639FF"/>
    <w:rsid w:val="00464CA5"/>
    <w:rsid w:val="00467A4F"/>
    <w:rsid w:val="00471F99"/>
    <w:rsid w:val="004726C1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73DD"/>
    <w:rsid w:val="00497A47"/>
    <w:rsid w:val="00497D33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ABE"/>
    <w:rsid w:val="004D2E97"/>
    <w:rsid w:val="004D6B8C"/>
    <w:rsid w:val="004D7B1E"/>
    <w:rsid w:val="004E0DAA"/>
    <w:rsid w:val="004E3956"/>
    <w:rsid w:val="004E5831"/>
    <w:rsid w:val="004E5B61"/>
    <w:rsid w:val="004E5E7C"/>
    <w:rsid w:val="004E5F00"/>
    <w:rsid w:val="004E64C2"/>
    <w:rsid w:val="004E68D0"/>
    <w:rsid w:val="004F0B22"/>
    <w:rsid w:val="004F3778"/>
    <w:rsid w:val="004F63F3"/>
    <w:rsid w:val="004F78CE"/>
    <w:rsid w:val="0050118D"/>
    <w:rsid w:val="005018D3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5BE1"/>
    <w:rsid w:val="00536906"/>
    <w:rsid w:val="0053745B"/>
    <w:rsid w:val="00537717"/>
    <w:rsid w:val="00540312"/>
    <w:rsid w:val="0054174C"/>
    <w:rsid w:val="00541B0F"/>
    <w:rsid w:val="005428E3"/>
    <w:rsid w:val="00544C33"/>
    <w:rsid w:val="005450E5"/>
    <w:rsid w:val="005464E6"/>
    <w:rsid w:val="00547A2D"/>
    <w:rsid w:val="005505EA"/>
    <w:rsid w:val="00550F3C"/>
    <w:rsid w:val="00552EC4"/>
    <w:rsid w:val="00554C02"/>
    <w:rsid w:val="00554E90"/>
    <w:rsid w:val="0055573F"/>
    <w:rsid w:val="0055599E"/>
    <w:rsid w:val="00555EDA"/>
    <w:rsid w:val="00557009"/>
    <w:rsid w:val="00557619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71555"/>
    <w:rsid w:val="00572725"/>
    <w:rsid w:val="00575C0C"/>
    <w:rsid w:val="00575D8A"/>
    <w:rsid w:val="0058030E"/>
    <w:rsid w:val="0058107D"/>
    <w:rsid w:val="00581887"/>
    <w:rsid w:val="00582341"/>
    <w:rsid w:val="00582A63"/>
    <w:rsid w:val="00584282"/>
    <w:rsid w:val="00587943"/>
    <w:rsid w:val="0059113C"/>
    <w:rsid w:val="00592312"/>
    <w:rsid w:val="00592597"/>
    <w:rsid w:val="0059422D"/>
    <w:rsid w:val="00596E87"/>
    <w:rsid w:val="00597808"/>
    <w:rsid w:val="005979F5"/>
    <w:rsid w:val="005A06EF"/>
    <w:rsid w:val="005A3A0E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12DD"/>
    <w:rsid w:val="005F354D"/>
    <w:rsid w:val="005F3758"/>
    <w:rsid w:val="005F38F8"/>
    <w:rsid w:val="005F43AE"/>
    <w:rsid w:val="005F5DC3"/>
    <w:rsid w:val="005F748D"/>
    <w:rsid w:val="006002C6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A0389"/>
    <w:rsid w:val="006A0C4D"/>
    <w:rsid w:val="006A0C57"/>
    <w:rsid w:val="006A1230"/>
    <w:rsid w:val="006A3A0A"/>
    <w:rsid w:val="006A571A"/>
    <w:rsid w:val="006A6A47"/>
    <w:rsid w:val="006A793D"/>
    <w:rsid w:val="006A79F1"/>
    <w:rsid w:val="006B12BC"/>
    <w:rsid w:val="006B12D2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6EEF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49E2"/>
    <w:rsid w:val="006F4B15"/>
    <w:rsid w:val="006F6237"/>
    <w:rsid w:val="006F7049"/>
    <w:rsid w:val="006F7966"/>
    <w:rsid w:val="00704E57"/>
    <w:rsid w:val="00705313"/>
    <w:rsid w:val="00706335"/>
    <w:rsid w:val="007070F9"/>
    <w:rsid w:val="007113E7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30E8C"/>
    <w:rsid w:val="007318B0"/>
    <w:rsid w:val="00735725"/>
    <w:rsid w:val="00735F0A"/>
    <w:rsid w:val="007404C5"/>
    <w:rsid w:val="00741B35"/>
    <w:rsid w:val="007420A5"/>
    <w:rsid w:val="00742656"/>
    <w:rsid w:val="00743B29"/>
    <w:rsid w:val="007449C5"/>
    <w:rsid w:val="0074795F"/>
    <w:rsid w:val="007502E7"/>
    <w:rsid w:val="0075084D"/>
    <w:rsid w:val="00751EBA"/>
    <w:rsid w:val="007520A3"/>
    <w:rsid w:val="007521BA"/>
    <w:rsid w:val="00754339"/>
    <w:rsid w:val="007545B8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58AF"/>
    <w:rsid w:val="00766DD4"/>
    <w:rsid w:val="007675BC"/>
    <w:rsid w:val="00770387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7A8"/>
    <w:rsid w:val="007835E4"/>
    <w:rsid w:val="00783657"/>
    <w:rsid w:val="00783CA1"/>
    <w:rsid w:val="00784238"/>
    <w:rsid w:val="007866FE"/>
    <w:rsid w:val="007906F8"/>
    <w:rsid w:val="00790A0E"/>
    <w:rsid w:val="007944F6"/>
    <w:rsid w:val="00796020"/>
    <w:rsid w:val="0079602E"/>
    <w:rsid w:val="00796F4D"/>
    <w:rsid w:val="007A115A"/>
    <w:rsid w:val="007A137D"/>
    <w:rsid w:val="007A1BA4"/>
    <w:rsid w:val="007A3E99"/>
    <w:rsid w:val="007A5CF3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E7"/>
    <w:rsid w:val="007F474B"/>
    <w:rsid w:val="007F6C90"/>
    <w:rsid w:val="007F7627"/>
    <w:rsid w:val="008058E7"/>
    <w:rsid w:val="00806299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6EE4"/>
    <w:rsid w:val="008A292C"/>
    <w:rsid w:val="008A2F31"/>
    <w:rsid w:val="008A3954"/>
    <w:rsid w:val="008A589A"/>
    <w:rsid w:val="008A77F7"/>
    <w:rsid w:val="008A7E41"/>
    <w:rsid w:val="008B1268"/>
    <w:rsid w:val="008B182B"/>
    <w:rsid w:val="008B2EDE"/>
    <w:rsid w:val="008B35B7"/>
    <w:rsid w:val="008B4D49"/>
    <w:rsid w:val="008B5BDD"/>
    <w:rsid w:val="008B60FF"/>
    <w:rsid w:val="008B6895"/>
    <w:rsid w:val="008B6936"/>
    <w:rsid w:val="008C4924"/>
    <w:rsid w:val="008C4ACE"/>
    <w:rsid w:val="008C6770"/>
    <w:rsid w:val="008C6E96"/>
    <w:rsid w:val="008D3A5B"/>
    <w:rsid w:val="008D57CE"/>
    <w:rsid w:val="008E06E5"/>
    <w:rsid w:val="008E11BE"/>
    <w:rsid w:val="008E1D2C"/>
    <w:rsid w:val="008E208F"/>
    <w:rsid w:val="008E3446"/>
    <w:rsid w:val="008E3958"/>
    <w:rsid w:val="008E4706"/>
    <w:rsid w:val="008E484F"/>
    <w:rsid w:val="008E4B7F"/>
    <w:rsid w:val="008E4C82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2621"/>
    <w:rsid w:val="00912A41"/>
    <w:rsid w:val="00913427"/>
    <w:rsid w:val="0091347D"/>
    <w:rsid w:val="00913BB5"/>
    <w:rsid w:val="00915099"/>
    <w:rsid w:val="0091565F"/>
    <w:rsid w:val="00916AD2"/>
    <w:rsid w:val="00921F3D"/>
    <w:rsid w:val="00921FF6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801C3"/>
    <w:rsid w:val="00980D4E"/>
    <w:rsid w:val="009819B4"/>
    <w:rsid w:val="009828EC"/>
    <w:rsid w:val="00982B06"/>
    <w:rsid w:val="00983C1C"/>
    <w:rsid w:val="00983DD8"/>
    <w:rsid w:val="00984ED2"/>
    <w:rsid w:val="00986D3A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788D"/>
    <w:rsid w:val="009B0A95"/>
    <w:rsid w:val="009B0BF5"/>
    <w:rsid w:val="009B35E1"/>
    <w:rsid w:val="009B3A73"/>
    <w:rsid w:val="009B476E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5EFF"/>
    <w:rsid w:val="009E6B0A"/>
    <w:rsid w:val="009F2832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2E73"/>
    <w:rsid w:val="00A02EED"/>
    <w:rsid w:val="00A03A39"/>
    <w:rsid w:val="00A05EE2"/>
    <w:rsid w:val="00A060EA"/>
    <w:rsid w:val="00A1117E"/>
    <w:rsid w:val="00A11D3E"/>
    <w:rsid w:val="00A11E6E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A5D"/>
    <w:rsid w:val="00A63301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7D9"/>
    <w:rsid w:val="00A76A31"/>
    <w:rsid w:val="00A8209B"/>
    <w:rsid w:val="00A82517"/>
    <w:rsid w:val="00A828D4"/>
    <w:rsid w:val="00A8496D"/>
    <w:rsid w:val="00A84A31"/>
    <w:rsid w:val="00A863CD"/>
    <w:rsid w:val="00A875CA"/>
    <w:rsid w:val="00A90942"/>
    <w:rsid w:val="00A91CB3"/>
    <w:rsid w:val="00A925F7"/>
    <w:rsid w:val="00A9577D"/>
    <w:rsid w:val="00A95F68"/>
    <w:rsid w:val="00A95F9D"/>
    <w:rsid w:val="00A97E2C"/>
    <w:rsid w:val="00AA00A0"/>
    <w:rsid w:val="00AA05F1"/>
    <w:rsid w:val="00AA0AFA"/>
    <w:rsid w:val="00AA0B23"/>
    <w:rsid w:val="00AA155E"/>
    <w:rsid w:val="00AA2659"/>
    <w:rsid w:val="00AA29CB"/>
    <w:rsid w:val="00AA4952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3114"/>
    <w:rsid w:val="00B161AA"/>
    <w:rsid w:val="00B16213"/>
    <w:rsid w:val="00B163F5"/>
    <w:rsid w:val="00B17486"/>
    <w:rsid w:val="00B2038D"/>
    <w:rsid w:val="00B2087B"/>
    <w:rsid w:val="00B20D61"/>
    <w:rsid w:val="00B20FC3"/>
    <w:rsid w:val="00B21063"/>
    <w:rsid w:val="00B226E3"/>
    <w:rsid w:val="00B23BBF"/>
    <w:rsid w:val="00B23E42"/>
    <w:rsid w:val="00B240BB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B91"/>
    <w:rsid w:val="00B73B98"/>
    <w:rsid w:val="00B750D0"/>
    <w:rsid w:val="00B777BD"/>
    <w:rsid w:val="00B77BA6"/>
    <w:rsid w:val="00B808B7"/>
    <w:rsid w:val="00B842E1"/>
    <w:rsid w:val="00B86FC7"/>
    <w:rsid w:val="00B87B91"/>
    <w:rsid w:val="00B905AD"/>
    <w:rsid w:val="00B90692"/>
    <w:rsid w:val="00B91DB5"/>
    <w:rsid w:val="00B92760"/>
    <w:rsid w:val="00B94B22"/>
    <w:rsid w:val="00B966A8"/>
    <w:rsid w:val="00B96991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95A"/>
    <w:rsid w:val="00BB19CE"/>
    <w:rsid w:val="00BB3878"/>
    <w:rsid w:val="00BB3FD4"/>
    <w:rsid w:val="00BB4C29"/>
    <w:rsid w:val="00BB5AFC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1A2A"/>
    <w:rsid w:val="00C11C0D"/>
    <w:rsid w:val="00C11CA0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774F"/>
    <w:rsid w:val="00C60271"/>
    <w:rsid w:val="00C61190"/>
    <w:rsid w:val="00C613FC"/>
    <w:rsid w:val="00C659A2"/>
    <w:rsid w:val="00C65E0C"/>
    <w:rsid w:val="00C71A46"/>
    <w:rsid w:val="00C71D1C"/>
    <w:rsid w:val="00C7426D"/>
    <w:rsid w:val="00C74660"/>
    <w:rsid w:val="00C74B36"/>
    <w:rsid w:val="00C75AA6"/>
    <w:rsid w:val="00C75EEE"/>
    <w:rsid w:val="00C80361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429"/>
    <w:rsid w:val="00CE7BCA"/>
    <w:rsid w:val="00CF0971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A3B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98A"/>
    <w:rsid w:val="00D91F60"/>
    <w:rsid w:val="00D93B70"/>
    <w:rsid w:val="00D93DAD"/>
    <w:rsid w:val="00D95C21"/>
    <w:rsid w:val="00D96A61"/>
    <w:rsid w:val="00DA0ADE"/>
    <w:rsid w:val="00DA1ED3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241"/>
    <w:rsid w:val="00E206BB"/>
    <w:rsid w:val="00E22B07"/>
    <w:rsid w:val="00E25851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CCC"/>
    <w:rsid w:val="00E97D61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FCE"/>
    <w:rsid w:val="00EB32C0"/>
    <w:rsid w:val="00EB59EA"/>
    <w:rsid w:val="00EB5B95"/>
    <w:rsid w:val="00EB7D8D"/>
    <w:rsid w:val="00EC5F3B"/>
    <w:rsid w:val="00EC66BF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D5E"/>
    <w:rsid w:val="00F0288F"/>
    <w:rsid w:val="00F04779"/>
    <w:rsid w:val="00F0687A"/>
    <w:rsid w:val="00F078D7"/>
    <w:rsid w:val="00F112F5"/>
    <w:rsid w:val="00F1192D"/>
    <w:rsid w:val="00F11CCD"/>
    <w:rsid w:val="00F12042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809B4"/>
    <w:rsid w:val="00F81062"/>
    <w:rsid w:val="00F82DF3"/>
    <w:rsid w:val="00F84712"/>
    <w:rsid w:val="00F86A45"/>
    <w:rsid w:val="00F87B39"/>
    <w:rsid w:val="00F930C0"/>
    <w:rsid w:val="00F9378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CB8"/>
    <w:rsid w:val="00FC50FB"/>
    <w:rsid w:val="00FC700C"/>
    <w:rsid w:val="00FC7865"/>
    <w:rsid w:val="00FC7C84"/>
    <w:rsid w:val="00FD01A9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47B5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CDSCLAIM/CDSCLAIM_msg_code_165.xml" TargetMode="External"/><Relationship Id="rId26" Type="http://schemas.openxmlformats.org/officeDocument/2006/relationships/hyperlink" Target="XML/CDSDATA/CDSDATA_msg_code_121_long_day.xml" TargetMode="External"/><Relationship Id="rId39" Type="http://schemas.openxmlformats.org/officeDocument/2006/relationships/hyperlink" Target="XML/TDD/TDD_msg_code_521.xml" TargetMode="External"/><Relationship Id="rId21" Type="http://schemas.openxmlformats.org/officeDocument/2006/relationships/hyperlink" Target="XML/CDSDATA/CDSDATA_msg_code_124.xml" TargetMode="External"/><Relationship Id="rId34" Type="http://schemas.openxmlformats.org/officeDocument/2006/relationships/hyperlink" Target="XML/MASTERDATA/MASTERDATA_msg_code_146.xml" TargetMode="External"/><Relationship Id="rId42" Type="http://schemas.openxmlformats.org/officeDocument/2006/relationships/hyperlink" Target="XML/SFVOTREQ" TargetMode="External"/><Relationship Id="rId47" Type="http://schemas.openxmlformats.org/officeDocument/2006/relationships/hyperlink" Target="XML/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XML/CDSINVOICE/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XML/CDSDATA/CDSDATA_msg_code_162.xml" TargetMode="External"/><Relationship Id="rId32" Type="http://schemas.openxmlformats.org/officeDocument/2006/relationships/hyperlink" Target="XML/CDSREQ/CDSREQ_msg_code_131.xml" TargetMode="External"/><Relationship Id="rId37" Type="http://schemas.openxmlformats.org/officeDocument/2006/relationships/hyperlink" Target="XML/MASTERDATA/MASTERDATA_msg_code_453_vyjadreni_noveho.xml" TargetMode="External"/><Relationship Id="rId40" Type="http://schemas.openxmlformats.org/officeDocument/2006/relationships/hyperlink" Target="XML/TEMPERATURE/TEMPERATURE_msg_code_511.xml" TargetMode="External"/><Relationship Id="rId45" Type="http://schemas.openxmlformats.org/officeDocument/2006/relationships/hyperlink" Target="XML/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XML/CDSDATA/CDSDATA_msg_code_161.xml" TargetMode="External"/><Relationship Id="rId28" Type="http://schemas.openxmlformats.org/officeDocument/2006/relationships/hyperlink" Target="XML/CDSIDIS/CDSIDIS_msg_code_126.xml" TargetMode="External"/><Relationship Id="rId36" Type="http://schemas.openxmlformats.org/officeDocument/2006/relationships/hyperlink" Target="XML/MASTERDATA/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XML/CDSDATA/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XML/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CDSDATA/CDSDATA_msg_code_125.xml" TargetMode="External"/><Relationship Id="rId27" Type="http://schemas.openxmlformats.org/officeDocument/2006/relationships/hyperlink" Target="XML/CDSIDIS/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XML/MASTERDATA/MASTERDATA_msg_code_450_zadost.xml" TargetMode="External"/><Relationship Id="rId43" Type="http://schemas.openxmlformats.org/officeDocument/2006/relationships/hyperlink" Target="XML/SFVOTSETTINGS" TargetMode="External"/><Relationship Id="rId48" Type="http://schemas.openxmlformats.org/officeDocument/2006/relationships/hyperlink" Target="XML/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XML/CDSDATA/CDSDATA_msg_code_121_short_day.xml" TargetMode="External"/><Relationship Id="rId33" Type="http://schemas.openxmlformats.org/officeDocument/2006/relationships/hyperlink" Target="XML/ISOTEDATA/ISOTEDATA_msg_code_811.xml" TargetMode="External"/><Relationship Id="rId38" Type="http://schemas.openxmlformats.org/officeDocument/2006/relationships/hyperlink" Target="XML/RESPONSE/RESPONSE_msg_code_215.xml" TargetMode="External"/><Relationship Id="rId46" Type="http://schemas.openxmlformats.org/officeDocument/2006/relationships/hyperlink" Target="XML/SFVOTEMGSTATEINV" TargetMode="External"/><Relationship Id="rId20" Type="http://schemas.openxmlformats.org/officeDocument/2006/relationships/hyperlink" Target="XML/CDSDATA/CDSDATA_msg_code_122.xml" TargetMode="External"/><Relationship Id="rId41" Type="http://schemas.openxmlformats.org/officeDocument/2006/relationships/hyperlink" Target="XML/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NFSNTN5T5VF3-562782533-168790</_dlc_DocId>
    <_dlc_DocIdUrl xmlns="264ae750-5a2e-432f-ac50-7a362b0d89d7">
      <Url>https://eu.sharepoint.ent.cgi.com/client/12402/_layouts/15/DocIdRedir.aspx?ID=NFSNTN5T5VF3-562782533-168790</Url>
      <Description>NFSNTN5T5VF3-562782533-168790</Description>
    </_dlc_DocIdUrl>
    <_dlc_DocIdPersistId xmlns="264ae750-5a2e-432f-ac50-7a362b0d89d7" xsi:nil="true"/>
    <TaxCatchAllLabel xmlns="1467fb8b-7944-4202-8e80-6a5cf0d1828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4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68</Pages>
  <Words>45237</Words>
  <Characters>266900</Characters>
  <Application>Microsoft Office Word</Application>
  <DocSecurity>0</DocSecurity>
  <Lines>2224</Lines>
  <Paragraphs>623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311514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Bissy, Miroslav</cp:lastModifiedBy>
  <cp:revision>21</cp:revision>
  <cp:lastPrinted>2003-01-06T17:44:00Z</cp:lastPrinted>
  <dcterms:created xsi:type="dcterms:W3CDTF">2025-06-25T07:29:00Z</dcterms:created>
  <dcterms:modified xsi:type="dcterms:W3CDTF">2025-10-30T12:08:00Z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480bb264-3c8a-4017-9da4-90939f5a93a3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