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3A" w:rsidRPr="00CC323D" w:rsidRDefault="00270B3A" w:rsidP="00270B3A">
      <w:pPr>
        <w:ind w:left="720"/>
        <w:rPr>
          <w:rFonts w:ascii="Arial" w:hAnsi="Arial" w:cs="Arial"/>
          <w:sz w:val="20"/>
          <w:szCs w:val="20"/>
        </w:rPr>
      </w:pPr>
      <w:r w:rsidRPr="00CC323D">
        <w:rPr>
          <w:rFonts w:ascii="Arial" w:hAnsi="Arial" w:cs="Arial"/>
          <w:sz w:val="20"/>
          <w:szCs w:val="20"/>
        </w:rPr>
        <w:t>Dne 30.</w:t>
      </w:r>
      <w:r w:rsidR="004F3240">
        <w:rPr>
          <w:rFonts w:ascii="Arial" w:hAnsi="Arial" w:cs="Arial"/>
          <w:sz w:val="20"/>
          <w:szCs w:val="20"/>
        </w:rPr>
        <w:t xml:space="preserve"> </w:t>
      </w:r>
      <w:r w:rsidRPr="00CC323D">
        <w:rPr>
          <w:rFonts w:ascii="Arial" w:hAnsi="Arial" w:cs="Arial"/>
          <w:sz w:val="20"/>
          <w:szCs w:val="20"/>
        </w:rPr>
        <w:t>5.</w:t>
      </w:r>
      <w:r w:rsidR="004F3240">
        <w:rPr>
          <w:rFonts w:ascii="Arial" w:hAnsi="Arial" w:cs="Arial"/>
          <w:sz w:val="20"/>
          <w:szCs w:val="20"/>
        </w:rPr>
        <w:t xml:space="preserve"> </w:t>
      </w:r>
      <w:r w:rsidRPr="00CC323D">
        <w:rPr>
          <w:rFonts w:ascii="Arial" w:hAnsi="Arial" w:cs="Arial"/>
          <w:sz w:val="20"/>
          <w:szCs w:val="20"/>
        </w:rPr>
        <w:t xml:space="preserve">2012 </w:t>
      </w:r>
      <w:r w:rsidR="00DC62B0">
        <w:rPr>
          <w:rFonts w:ascii="Arial" w:hAnsi="Arial" w:cs="Arial"/>
          <w:sz w:val="20"/>
          <w:szCs w:val="20"/>
        </w:rPr>
        <w:t>vešel v</w:t>
      </w:r>
      <w:r w:rsidR="004F3240">
        <w:rPr>
          <w:rFonts w:ascii="Arial" w:hAnsi="Arial" w:cs="Arial"/>
          <w:sz w:val="20"/>
          <w:szCs w:val="20"/>
        </w:rPr>
        <w:t> </w:t>
      </w:r>
      <w:r w:rsidR="00DC62B0" w:rsidRPr="008A39FC">
        <w:rPr>
          <w:rFonts w:ascii="Arial" w:hAnsi="Arial" w:cs="Arial"/>
          <w:sz w:val="20"/>
          <w:szCs w:val="20"/>
        </w:rPr>
        <w:t>platnost</w:t>
      </w:r>
      <w:r w:rsidR="004F3240">
        <w:rPr>
          <w:rFonts w:ascii="Arial" w:hAnsi="Arial" w:cs="Arial"/>
          <w:sz w:val="20"/>
          <w:szCs w:val="20"/>
        </w:rPr>
        <w:t xml:space="preserve"> </w:t>
      </w:r>
      <w:r w:rsidRPr="008A39FC">
        <w:rPr>
          <w:rFonts w:ascii="Arial" w:hAnsi="Arial" w:cs="Arial"/>
          <w:bCs/>
          <w:sz w:val="20"/>
          <w:szCs w:val="20"/>
        </w:rPr>
        <w:t xml:space="preserve">Zákon o podporovaných zdrojích energie a o změně některých zákonů </w:t>
      </w:r>
      <w:r w:rsidRPr="008A39FC">
        <w:rPr>
          <w:rFonts w:ascii="Arial" w:hAnsi="Arial" w:cs="Arial"/>
          <w:sz w:val="20"/>
          <w:szCs w:val="20"/>
        </w:rPr>
        <w:t xml:space="preserve">- zákon č. </w:t>
      </w:r>
      <w:r w:rsidRPr="008A39FC">
        <w:rPr>
          <w:rFonts w:ascii="Arial" w:hAnsi="Arial" w:cs="Arial"/>
          <w:bCs/>
          <w:sz w:val="20"/>
          <w:szCs w:val="20"/>
        </w:rPr>
        <w:t>165/2012 Sb</w:t>
      </w:r>
      <w:r w:rsidRPr="00CC323D">
        <w:rPr>
          <w:rFonts w:ascii="Arial" w:hAnsi="Arial" w:cs="Arial"/>
          <w:b/>
          <w:bCs/>
          <w:sz w:val="20"/>
          <w:szCs w:val="20"/>
        </w:rPr>
        <w:t>.</w:t>
      </w:r>
      <w:r w:rsidRPr="00CC323D">
        <w:rPr>
          <w:rFonts w:ascii="Arial" w:hAnsi="Arial" w:cs="Arial"/>
          <w:sz w:val="20"/>
          <w:szCs w:val="20"/>
        </w:rPr>
        <w:t xml:space="preserve">  </w:t>
      </w:r>
    </w:p>
    <w:p w:rsidR="00270B3A" w:rsidRPr="00CC323D" w:rsidRDefault="00270B3A" w:rsidP="00270B3A">
      <w:pPr>
        <w:ind w:left="720"/>
        <w:rPr>
          <w:rFonts w:ascii="Arial" w:hAnsi="Arial" w:cs="Arial"/>
          <w:sz w:val="20"/>
          <w:szCs w:val="20"/>
        </w:rPr>
      </w:pPr>
      <w:r w:rsidRPr="00CC323D">
        <w:rPr>
          <w:rFonts w:ascii="Arial" w:hAnsi="Arial" w:cs="Arial"/>
          <w:sz w:val="20"/>
          <w:szCs w:val="20"/>
        </w:rPr>
        <w:t xml:space="preserve">Proti dosud platné právní úpravě přináší významné změny do mechanismu zúčtování podpor ekologicky šetrné výrobě energie a do obchodování s takto vyrobenou energií. </w:t>
      </w:r>
    </w:p>
    <w:p w:rsidR="0079157D" w:rsidRPr="00CC323D" w:rsidRDefault="00270B3A" w:rsidP="00270B3A">
      <w:pPr>
        <w:ind w:left="720"/>
        <w:rPr>
          <w:rFonts w:ascii="Arial" w:hAnsi="Arial" w:cs="Arial"/>
          <w:sz w:val="20"/>
          <w:szCs w:val="20"/>
          <w:lang w:eastAsia="cs-CZ"/>
        </w:rPr>
      </w:pPr>
      <w:r w:rsidRPr="00CC323D">
        <w:rPr>
          <w:rFonts w:ascii="Arial" w:hAnsi="Arial" w:cs="Arial"/>
          <w:sz w:val="20"/>
          <w:szCs w:val="20"/>
        </w:rPr>
        <w:t xml:space="preserve">Do konce roku 2012 bude i nadále elektřinu vyrobenou šetrným způsobem povinně vykupovat a vyplácet příslušnou podporu podle cenového rozhodnutí Energetického regulačního úřadu </w:t>
      </w:r>
      <w:r w:rsidR="003A1288">
        <w:rPr>
          <w:rFonts w:ascii="Arial" w:hAnsi="Arial" w:cs="Arial"/>
          <w:sz w:val="20"/>
          <w:szCs w:val="20"/>
        </w:rPr>
        <w:t xml:space="preserve">(ERU) </w:t>
      </w:r>
      <w:r w:rsidRPr="00CC323D">
        <w:rPr>
          <w:rFonts w:ascii="Arial" w:hAnsi="Arial" w:cs="Arial"/>
          <w:sz w:val="20"/>
          <w:szCs w:val="20"/>
        </w:rPr>
        <w:t xml:space="preserve">provozovatel distribuční soustavy </w:t>
      </w:r>
      <w:r w:rsidR="00B52342">
        <w:rPr>
          <w:rFonts w:ascii="Arial" w:hAnsi="Arial" w:cs="Arial"/>
          <w:sz w:val="20"/>
          <w:szCs w:val="20"/>
        </w:rPr>
        <w:t>(</w:t>
      </w:r>
      <w:r w:rsidR="00C36BB2">
        <w:rPr>
          <w:rFonts w:ascii="Arial" w:hAnsi="Arial" w:cs="Arial"/>
          <w:sz w:val="20"/>
          <w:szCs w:val="20"/>
        </w:rPr>
        <w:t>PD</w:t>
      </w:r>
      <w:r w:rsidR="00B52342">
        <w:rPr>
          <w:rFonts w:ascii="Arial" w:hAnsi="Arial" w:cs="Arial"/>
          <w:sz w:val="20"/>
          <w:szCs w:val="20"/>
        </w:rPr>
        <w:t xml:space="preserve">S) </w:t>
      </w:r>
      <w:r w:rsidRPr="00CC323D">
        <w:rPr>
          <w:rFonts w:ascii="Arial" w:hAnsi="Arial" w:cs="Arial"/>
          <w:sz w:val="20"/>
          <w:szCs w:val="20"/>
        </w:rPr>
        <w:t>za výrobny zapojené do jeho sítě</w:t>
      </w:r>
      <w:r w:rsidR="00230148">
        <w:rPr>
          <w:rFonts w:ascii="Arial" w:hAnsi="Arial" w:cs="Arial"/>
          <w:sz w:val="20"/>
          <w:szCs w:val="20"/>
        </w:rPr>
        <w:t xml:space="preserve"> přímo nebo prostřednictvím lokální distribuční soustavy nebo jiné výrobny</w:t>
      </w:r>
      <w:r w:rsidRPr="00CC323D">
        <w:rPr>
          <w:rFonts w:ascii="Arial" w:hAnsi="Arial" w:cs="Arial"/>
          <w:sz w:val="20"/>
          <w:szCs w:val="20"/>
        </w:rPr>
        <w:t>.</w:t>
      </w:r>
      <w:r w:rsidR="0079157D" w:rsidRPr="00CC323D">
        <w:rPr>
          <w:rFonts w:ascii="Arial" w:hAnsi="Arial" w:cs="Arial"/>
          <w:sz w:val="20"/>
          <w:szCs w:val="20"/>
        </w:rPr>
        <w:t xml:space="preserve"> </w:t>
      </w:r>
    </w:p>
    <w:p w:rsidR="0079157D" w:rsidRPr="00CC323D" w:rsidRDefault="0079157D" w:rsidP="0079157D">
      <w:pPr>
        <w:rPr>
          <w:rFonts w:ascii="Arial" w:hAnsi="Arial" w:cs="Arial"/>
          <w:sz w:val="20"/>
          <w:szCs w:val="20"/>
        </w:rPr>
      </w:pPr>
    </w:p>
    <w:p w:rsidR="0079157D" w:rsidRPr="00CC323D" w:rsidRDefault="0079157D" w:rsidP="000674CD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CC323D" w:rsidRPr="004D0665" w:rsidRDefault="000674CD" w:rsidP="004D0665">
      <w:pPr>
        <w:autoSpaceDE w:val="0"/>
        <w:autoSpaceDN w:val="0"/>
        <w:ind w:left="708"/>
        <w:rPr>
          <w:rFonts w:ascii="Arial" w:hAnsi="Arial" w:cs="Arial"/>
          <w:b/>
          <w:bCs/>
          <w:sz w:val="20"/>
          <w:szCs w:val="20"/>
        </w:rPr>
      </w:pPr>
      <w:r w:rsidRPr="008A39FC">
        <w:rPr>
          <w:rFonts w:ascii="Arial" w:hAnsi="Arial" w:cs="Arial"/>
          <w:bCs/>
          <w:sz w:val="20"/>
          <w:szCs w:val="20"/>
        </w:rPr>
        <w:t>Výrobce elektřiny je povinen</w:t>
      </w:r>
      <w:r w:rsidRPr="008A39FC">
        <w:rPr>
          <w:rFonts w:ascii="Arial" w:hAnsi="Arial" w:cs="Arial"/>
          <w:sz w:val="20"/>
          <w:szCs w:val="20"/>
        </w:rPr>
        <w:t xml:space="preserve"> v souladu s Energ</w:t>
      </w:r>
      <w:r w:rsidR="00CC323D" w:rsidRPr="008A39FC">
        <w:rPr>
          <w:rFonts w:ascii="Arial" w:hAnsi="Arial" w:cs="Arial"/>
          <w:sz w:val="20"/>
          <w:szCs w:val="20"/>
        </w:rPr>
        <w:t>etickým zákonem</w:t>
      </w:r>
      <w:r w:rsidRPr="008A39FC">
        <w:rPr>
          <w:rFonts w:ascii="Arial" w:hAnsi="Arial" w:cs="Arial"/>
          <w:bCs/>
          <w:sz w:val="20"/>
          <w:szCs w:val="20"/>
        </w:rPr>
        <w:t xml:space="preserve"> se do 30 dnů od udělení licence na výrobu elektřiny u operátora trhu</w:t>
      </w:r>
      <w:r w:rsidR="00230148" w:rsidRPr="008A39FC">
        <w:rPr>
          <w:rFonts w:ascii="Arial" w:hAnsi="Arial" w:cs="Arial"/>
          <w:bCs/>
          <w:sz w:val="20"/>
          <w:szCs w:val="20"/>
        </w:rPr>
        <w:t xml:space="preserve"> zaregistrovat</w:t>
      </w:r>
      <w:r w:rsidR="003A1288" w:rsidRPr="008A39FC">
        <w:rPr>
          <w:rFonts w:ascii="Arial" w:hAnsi="Arial" w:cs="Arial"/>
          <w:bCs/>
          <w:sz w:val="20"/>
          <w:szCs w:val="20"/>
        </w:rPr>
        <w:t xml:space="preserve"> a tím se stává</w:t>
      </w:r>
      <w:r w:rsidRPr="008A39FC">
        <w:rPr>
          <w:rFonts w:ascii="Arial" w:hAnsi="Arial" w:cs="Arial"/>
          <w:bCs/>
          <w:sz w:val="20"/>
          <w:szCs w:val="20"/>
        </w:rPr>
        <w:t xml:space="preserve"> registrovaným účastníkem trhu s</w:t>
      </w:r>
      <w:r w:rsidR="00CC323D" w:rsidRPr="008A39FC">
        <w:rPr>
          <w:rFonts w:ascii="Arial" w:hAnsi="Arial" w:cs="Arial"/>
          <w:bCs/>
          <w:sz w:val="20"/>
          <w:szCs w:val="20"/>
        </w:rPr>
        <w:t> </w:t>
      </w:r>
      <w:r w:rsidRPr="008A39FC">
        <w:rPr>
          <w:rFonts w:ascii="Arial" w:hAnsi="Arial" w:cs="Arial"/>
          <w:bCs/>
          <w:sz w:val="20"/>
          <w:szCs w:val="20"/>
        </w:rPr>
        <w:t>elektřinou</w:t>
      </w:r>
      <w:r w:rsidR="00CC323D" w:rsidRPr="008A39FC">
        <w:rPr>
          <w:rFonts w:ascii="Arial" w:hAnsi="Arial" w:cs="Arial"/>
          <w:bCs/>
          <w:sz w:val="20"/>
          <w:szCs w:val="20"/>
        </w:rPr>
        <w:t xml:space="preserve">. </w:t>
      </w:r>
      <w:r w:rsidR="004D0665" w:rsidRPr="008A39FC">
        <w:rPr>
          <w:rFonts w:ascii="Arial" w:hAnsi="Arial" w:cs="Arial"/>
          <w:bCs/>
          <w:sz w:val="20"/>
          <w:szCs w:val="20"/>
        </w:rPr>
        <w:t>Zdaleka ne všichni dosud připojení výrobci tuto povinnost splnili</w:t>
      </w:r>
      <w:r w:rsidR="003A1288" w:rsidRPr="008A39FC">
        <w:rPr>
          <w:rFonts w:ascii="Arial" w:hAnsi="Arial" w:cs="Arial"/>
          <w:bCs/>
          <w:sz w:val="20"/>
          <w:szCs w:val="20"/>
        </w:rPr>
        <w:t>.</w:t>
      </w:r>
      <w:r w:rsidR="003A1288">
        <w:rPr>
          <w:rFonts w:ascii="Arial" w:hAnsi="Arial" w:cs="Arial"/>
          <w:bCs/>
          <w:sz w:val="20"/>
          <w:szCs w:val="20"/>
        </w:rPr>
        <w:t xml:space="preserve"> P</w:t>
      </w:r>
      <w:r w:rsidR="00CC323D">
        <w:rPr>
          <w:rFonts w:ascii="Arial" w:hAnsi="Arial" w:cs="Arial"/>
          <w:bCs/>
          <w:sz w:val="20"/>
          <w:szCs w:val="20"/>
        </w:rPr>
        <w:t>rováděcí předpisy k současně platné právní úpravě umožňují výplatu podpory i v případě,</w:t>
      </w:r>
      <w:r w:rsidR="00B15693">
        <w:rPr>
          <w:rFonts w:ascii="Arial" w:hAnsi="Arial" w:cs="Arial"/>
          <w:bCs/>
          <w:sz w:val="20"/>
          <w:szCs w:val="20"/>
        </w:rPr>
        <w:t xml:space="preserve"> kdy výrobce nesplnil</w:t>
      </w:r>
      <w:r w:rsidR="00CC323D">
        <w:rPr>
          <w:rFonts w:ascii="Arial" w:hAnsi="Arial" w:cs="Arial"/>
          <w:bCs/>
          <w:sz w:val="20"/>
          <w:szCs w:val="20"/>
        </w:rPr>
        <w:t xml:space="preserve"> tuto pov</w:t>
      </w:r>
      <w:r w:rsidR="00B15693">
        <w:rPr>
          <w:rFonts w:ascii="Arial" w:hAnsi="Arial" w:cs="Arial"/>
          <w:bCs/>
          <w:sz w:val="20"/>
          <w:szCs w:val="20"/>
        </w:rPr>
        <w:t>innost, protože ji za něho splnil</w:t>
      </w:r>
      <w:r w:rsidR="00CC323D">
        <w:rPr>
          <w:rFonts w:ascii="Arial" w:hAnsi="Arial" w:cs="Arial"/>
          <w:bCs/>
          <w:sz w:val="20"/>
          <w:szCs w:val="20"/>
        </w:rPr>
        <w:t xml:space="preserve"> provozovatel distribuční soustavy.</w:t>
      </w:r>
      <w:r w:rsidR="00B15693">
        <w:rPr>
          <w:rFonts w:ascii="Arial" w:hAnsi="Arial" w:cs="Arial"/>
          <w:bCs/>
          <w:sz w:val="20"/>
          <w:szCs w:val="20"/>
        </w:rPr>
        <w:t xml:space="preserve"> Všichni výrobci energií s nárokem na podporu podle shora uvedeného zákona a připojení d</w:t>
      </w:r>
      <w:r w:rsidR="00180B16">
        <w:rPr>
          <w:rFonts w:ascii="Arial" w:hAnsi="Arial" w:cs="Arial"/>
          <w:bCs/>
          <w:sz w:val="20"/>
          <w:szCs w:val="20"/>
        </w:rPr>
        <w:t>o soustavy před účinností shora uvedeného zákona</w:t>
      </w:r>
      <w:r w:rsidR="00B15693">
        <w:rPr>
          <w:rFonts w:ascii="Arial" w:hAnsi="Arial" w:cs="Arial"/>
          <w:bCs/>
          <w:sz w:val="20"/>
          <w:szCs w:val="20"/>
        </w:rPr>
        <w:t xml:space="preserve"> budou registrováni v</w:t>
      </w:r>
      <w:r w:rsidR="004C759A">
        <w:rPr>
          <w:rFonts w:ascii="Arial" w:hAnsi="Arial" w:cs="Arial"/>
          <w:bCs/>
          <w:sz w:val="20"/>
          <w:szCs w:val="20"/>
        </w:rPr>
        <w:t> centrálním systému OTE (</w:t>
      </w:r>
      <w:r w:rsidR="00B15693">
        <w:rPr>
          <w:rFonts w:ascii="Arial" w:hAnsi="Arial" w:cs="Arial"/>
          <w:bCs/>
          <w:sz w:val="20"/>
          <w:szCs w:val="20"/>
        </w:rPr>
        <w:t>CS OTE</w:t>
      </w:r>
      <w:r w:rsidR="004C759A">
        <w:rPr>
          <w:rFonts w:ascii="Arial" w:hAnsi="Arial" w:cs="Arial"/>
          <w:bCs/>
          <w:sz w:val="20"/>
          <w:szCs w:val="20"/>
        </w:rPr>
        <w:t>)</w:t>
      </w:r>
      <w:r w:rsidR="00B15693">
        <w:rPr>
          <w:rFonts w:ascii="Arial" w:hAnsi="Arial" w:cs="Arial"/>
          <w:bCs/>
          <w:sz w:val="20"/>
          <w:szCs w:val="20"/>
        </w:rPr>
        <w:t xml:space="preserve"> </w:t>
      </w:r>
      <w:r w:rsidR="00180B16">
        <w:rPr>
          <w:rFonts w:ascii="Arial" w:hAnsi="Arial" w:cs="Arial"/>
          <w:bCs/>
          <w:sz w:val="20"/>
          <w:szCs w:val="20"/>
        </w:rPr>
        <w:t xml:space="preserve">příslušným </w:t>
      </w:r>
      <w:r w:rsidR="00B15693">
        <w:rPr>
          <w:rFonts w:ascii="Arial" w:hAnsi="Arial" w:cs="Arial"/>
          <w:bCs/>
          <w:sz w:val="20"/>
          <w:szCs w:val="20"/>
        </w:rPr>
        <w:t>provozovatelem distribuční</w:t>
      </w:r>
      <w:r w:rsidR="00180B16">
        <w:rPr>
          <w:rFonts w:ascii="Arial" w:hAnsi="Arial" w:cs="Arial"/>
          <w:bCs/>
          <w:sz w:val="20"/>
          <w:szCs w:val="20"/>
        </w:rPr>
        <w:t xml:space="preserve"> sítě</w:t>
      </w:r>
      <w:r w:rsidR="003A1288">
        <w:rPr>
          <w:rFonts w:ascii="Arial" w:hAnsi="Arial" w:cs="Arial"/>
          <w:bCs/>
          <w:sz w:val="20"/>
          <w:szCs w:val="20"/>
        </w:rPr>
        <w:t xml:space="preserve"> nejpozději do 31. ledna 2013.</w:t>
      </w:r>
    </w:p>
    <w:p w:rsidR="00CC323D" w:rsidRDefault="00CC323D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CC323D" w:rsidRDefault="00CC323D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Změna Zákona o podporovaných zdrojích ene</w:t>
      </w:r>
      <w:r w:rsidR="004F3240">
        <w:rPr>
          <w:rFonts w:ascii="Arial" w:hAnsi="Arial" w:cs="Arial"/>
          <w:bCs/>
          <w:sz w:val="20"/>
          <w:szCs w:val="20"/>
        </w:rPr>
        <w:t xml:space="preserve">rgie umožňuje výrobcům energií (elektřiny i </w:t>
      </w:r>
      <w:proofErr w:type="spellStart"/>
      <w:r w:rsidR="004F3240">
        <w:rPr>
          <w:rFonts w:ascii="Arial" w:hAnsi="Arial" w:cs="Arial"/>
          <w:bCs/>
          <w:sz w:val="20"/>
          <w:szCs w:val="20"/>
        </w:rPr>
        <w:t>biometanu</w:t>
      </w:r>
      <w:proofErr w:type="spellEnd"/>
      <w:r w:rsidR="004F3240">
        <w:rPr>
          <w:rFonts w:ascii="Arial" w:hAnsi="Arial" w:cs="Arial"/>
          <w:bCs/>
          <w:sz w:val="20"/>
          <w:szCs w:val="20"/>
        </w:rPr>
        <w:t>)</w:t>
      </w:r>
      <w:r w:rsidR="003A1288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aby vyrobenou energii prodávali počínaje lednem 2013 obchodníkovi podle svého výběru, případně povinně vykupujícímu obchodníkovi pro daný region. Při uzavírání smlouvy o dodávce se musí výrobce rozhodnout o formě podpory zeleným bonusem, nebo o podpoře </w:t>
      </w:r>
      <w:r w:rsidR="00230148">
        <w:rPr>
          <w:rFonts w:ascii="Arial" w:hAnsi="Arial" w:cs="Arial"/>
          <w:bCs/>
          <w:sz w:val="20"/>
          <w:szCs w:val="20"/>
        </w:rPr>
        <w:t>formou výkupní ceny</w:t>
      </w:r>
      <w:r>
        <w:rPr>
          <w:rFonts w:ascii="Arial" w:hAnsi="Arial" w:cs="Arial"/>
          <w:bCs/>
          <w:sz w:val="20"/>
          <w:szCs w:val="20"/>
        </w:rPr>
        <w:t xml:space="preserve">. Výši zeleného bonusu i výši </w:t>
      </w:r>
      <w:r w:rsidR="004C759A">
        <w:rPr>
          <w:rFonts w:ascii="Arial" w:hAnsi="Arial" w:cs="Arial"/>
          <w:bCs/>
          <w:sz w:val="20"/>
          <w:szCs w:val="20"/>
        </w:rPr>
        <w:t xml:space="preserve">výkupní </w:t>
      </w:r>
      <w:r>
        <w:rPr>
          <w:rFonts w:ascii="Arial" w:hAnsi="Arial" w:cs="Arial"/>
          <w:bCs/>
          <w:sz w:val="20"/>
          <w:szCs w:val="20"/>
        </w:rPr>
        <w:t>ceny určí cenové rozhodnutí pro rok 2013, které p</w:t>
      </w:r>
      <w:r w:rsidR="003A1288">
        <w:rPr>
          <w:rFonts w:ascii="Arial" w:hAnsi="Arial" w:cs="Arial"/>
          <w:bCs/>
          <w:sz w:val="20"/>
          <w:szCs w:val="20"/>
        </w:rPr>
        <w:t>řipravuje ERU</w:t>
      </w:r>
      <w:r>
        <w:rPr>
          <w:rFonts w:ascii="Arial" w:hAnsi="Arial" w:cs="Arial"/>
          <w:bCs/>
          <w:sz w:val="20"/>
          <w:szCs w:val="20"/>
        </w:rPr>
        <w:t>.</w:t>
      </w:r>
    </w:p>
    <w:p w:rsidR="00DF76D4" w:rsidRDefault="00DF76D4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DF76D4" w:rsidRDefault="00DF76D4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Vyúčtování zeleného bonusu s výrobcem, který zvolil tuto formu podpory je novou povinností OTE a. s. Pokud výrobce zvolí možnost prodávat svoji produkci povinně vykupujícímu obchodníkovi za </w:t>
      </w:r>
      <w:r w:rsidR="0080379B">
        <w:rPr>
          <w:rFonts w:ascii="Arial" w:hAnsi="Arial" w:cs="Arial"/>
          <w:bCs/>
          <w:sz w:val="20"/>
          <w:szCs w:val="20"/>
        </w:rPr>
        <w:t>výkupní cenu st</w:t>
      </w:r>
      <w:r w:rsidR="00CB3AA7">
        <w:rPr>
          <w:rFonts w:ascii="Arial" w:hAnsi="Arial" w:cs="Arial"/>
          <w:bCs/>
          <w:sz w:val="20"/>
          <w:szCs w:val="20"/>
        </w:rPr>
        <w:t>anovenou ERÚ</w:t>
      </w:r>
      <w:r>
        <w:rPr>
          <w:rFonts w:ascii="Arial" w:hAnsi="Arial" w:cs="Arial"/>
          <w:bCs/>
          <w:sz w:val="20"/>
          <w:szCs w:val="20"/>
        </w:rPr>
        <w:t xml:space="preserve">, nebude mít potřebu navázání spolupráce s OTE a případné rozdíly </w:t>
      </w:r>
      <w:r w:rsidR="0080379B">
        <w:rPr>
          <w:rFonts w:ascii="Arial" w:hAnsi="Arial" w:cs="Arial"/>
          <w:bCs/>
          <w:sz w:val="20"/>
          <w:szCs w:val="20"/>
        </w:rPr>
        <w:t>výkupní ceny</w:t>
      </w:r>
      <w:r w:rsidR="00FB5E8F">
        <w:rPr>
          <w:rFonts w:ascii="Arial" w:hAnsi="Arial" w:cs="Arial"/>
          <w:bCs/>
          <w:sz w:val="20"/>
          <w:szCs w:val="20"/>
        </w:rPr>
        <w:t xml:space="preserve"> a reálné ceny energie na denním trhu bude vypořádávat OTE s obchodníkem. </w:t>
      </w:r>
      <w:r w:rsidR="00346A58">
        <w:rPr>
          <w:rFonts w:ascii="Arial" w:hAnsi="Arial" w:cs="Arial"/>
          <w:bCs/>
          <w:sz w:val="20"/>
          <w:szCs w:val="20"/>
        </w:rPr>
        <w:t xml:space="preserve">Pro </w:t>
      </w:r>
      <w:r>
        <w:rPr>
          <w:rFonts w:ascii="Arial" w:hAnsi="Arial" w:cs="Arial"/>
          <w:bCs/>
          <w:sz w:val="20"/>
          <w:szCs w:val="20"/>
        </w:rPr>
        <w:t xml:space="preserve"> zajištění </w:t>
      </w:r>
      <w:r w:rsidR="00FB5E8F">
        <w:rPr>
          <w:rFonts w:ascii="Arial" w:hAnsi="Arial" w:cs="Arial"/>
          <w:bCs/>
          <w:sz w:val="20"/>
          <w:szCs w:val="20"/>
        </w:rPr>
        <w:t>nových</w:t>
      </w:r>
      <w:r>
        <w:rPr>
          <w:rFonts w:ascii="Arial" w:hAnsi="Arial" w:cs="Arial"/>
          <w:bCs/>
          <w:sz w:val="20"/>
          <w:szCs w:val="20"/>
        </w:rPr>
        <w:t xml:space="preserve"> povinnost</w:t>
      </w:r>
      <w:r w:rsidR="004C759A">
        <w:rPr>
          <w:rFonts w:ascii="Arial" w:hAnsi="Arial" w:cs="Arial"/>
          <w:bCs/>
          <w:sz w:val="20"/>
          <w:szCs w:val="20"/>
        </w:rPr>
        <w:t>í</w:t>
      </w:r>
      <w:r w:rsidR="00C36BB2">
        <w:rPr>
          <w:rFonts w:ascii="Arial" w:hAnsi="Arial" w:cs="Arial"/>
          <w:bCs/>
          <w:sz w:val="20"/>
          <w:szCs w:val="20"/>
        </w:rPr>
        <w:t xml:space="preserve"> musí společnost OTE</w:t>
      </w:r>
      <w:r w:rsidR="00346A58">
        <w:rPr>
          <w:rFonts w:ascii="Arial" w:hAnsi="Arial" w:cs="Arial"/>
          <w:bCs/>
          <w:sz w:val="20"/>
          <w:szCs w:val="20"/>
        </w:rPr>
        <w:t>,</w:t>
      </w:r>
      <w:r w:rsidR="00C36BB2">
        <w:rPr>
          <w:rFonts w:ascii="Arial" w:hAnsi="Arial" w:cs="Arial"/>
          <w:bCs/>
          <w:sz w:val="20"/>
          <w:szCs w:val="20"/>
        </w:rPr>
        <w:t xml:space="preserve"> a. s.</w:t>
      </w:r>
      <w:r>
        <w:rPr>
          <w:rFonts w:ascii="Arial" w:hAnsi="Arial" w:cs="Arial"/>
          <w:bCs/>
          <w:sz w:val="20"/>
          <w:szCs w:val="20"/>
        </w:rPr>
        <w:t xml:space="preserve"> do konce tohoto roku naplnit řadu podmínek. Většina z nich bude konkretizována v prováděcích předpisech, které nyní připravují MPO a </w:t>
      </w:r>
      <w:r w:rsidR="008F42E7">
        <w:rPr>
          <w:rFonts w:ascii="Arial" w:hAnsi="Arial" w:cs="Arial"/>
          <w:bCs/>
          <w:sz w:val="20"/>
          <w:szCs w:val="20"/>
        </w:rPr>
        <w:t>ERÚ</w:t>
      </w:r>
      <w:r>
        <w:rPr>
          <w:rFonts w:ascii="Arial" w:hAnsi="Arial" w:cs="Arial"/>
          <w:bCs/>
          <w:sz w:val="20"/>
          <w:szCs w:val="20"/>
        </w:rPr>
        <w:t>.</w:t>
      </w:r>
    </w:p>
    <w:p w:rsidR="00FB5E8F" w:rsidRDefault="00FB5E8F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FB5E8F" w:rsidRDefault="00FB5E8F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 dosavadní přípravy změn mechanismu zúčtování podpory v podobě </w:t>
      </w:r>
      <w:r w:rsidR="008F42E7">
        <w:rPr>
          <w:rFonts w:ascii="Arial" w:hAnsi="Arial" w:cs="Arial"/>
          <w:bCs/>
          <w:sz w:val="20"/>
          <w:szCs w:val="20"/>
        </w:rPr>
        <w:t>výkupní ceny</w:t>
      </w:r>
      <w:r>
        <w:rPr>
          <w:rFonts w:ascii="Arial" w:hAnsi="Arial" w:cs="Arial"/>
          <w:bCs/>
          <w:sz w:val="20"/>
          <w:szCs w:val="20"/>
        </w:rPr>
        <w:t xml:space="preserve"> nebo zeleného bonusu vyplývá:</w:t>
      </w:r>
    </w:p>
    <w:p w:rsidR="00FB5E8F" w:rsidRDefault="00FB5E8F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FB5E8F" w:rsidRPr="00CB3AA7" w:rsidRDefault="00FB5E8F" w:rsidP="00CB3AA7">
      <w:pPr>
        <w:pStyle w:val="Odstavecseseznamem"/>
        <w:numPr>
          <w:ilvl w:val="0"/>
          <w:numId w:val="17"/>
        </w:numPr>
        <w:autoSpaceDE w:val="0"/>
        <w:autoSpaceDN w:val="0"/>
        <w:rPr>
          <w:rFonts w:ascii="Arial" w:hAnsi="Arial" w:cs="Arial"/>
          <w:bCs/>
          <w:sz w:val="20"/>
          <w:szCs w:val="20"/>
        </w:rPr>
      </w:pPr>
      <w:r w:rsidRPr="00CB3AA7">
        <w:rPr>
          <w:rFonts w:ascii="Arial" w:hAnsi="Arial" w:cs="Arial"/>
          <w:bCs/>
          <w:sz w:val="20"/>
          <w:szCs w:val="20"/>
        </w:rPr>
        <w:t>Povinnost pro výrobce zaregistrovat se v CS OTE se všemi svými výr</w:t>
      </w:r>
      <w:r w:rsidR="00601DB1">
        <w:rPr>
          <w:rFonts w:ascii="Arial" w:hAnsi="Arial" w:cs="Arial"/>
          <w:bCs/>
          <w:sz w:val="20"/>
          <w:szCs w:val="20"/>
        </w:rPr>
        <w:t>obnami</w:t>
      </w:r>
      <w:r w:rsidR="00346A58">
        <w:rPr>
          <w:rFonts w:ascii="Arial" w:hAnsi="Arial" w:cs="Arial"/>
          <w:bCs/>
          <w:sz w:val="20"/>
          <w:szCs w:val="20"/>
        </w:rPr>
        <w:t xml:space="preserve"> včetně identifikace jejich předacích míst.</w:t>
      </w:r>
      <w:r w:rsidRPr="00CB3AA7">
        <w:rPr>
          <w:rFonts w:ascii="Arial" w:hAnsi="Arial" w:cs="Arial"/>
          <w:bCs/>
          <w:sz w:val="20"/>
          <w:szCs w:val="20"/>
        </w:rPr>
        <w:t xml:space="preserve"> </w:t>
      </w:r>
    </w:p>
    <w:p w:rsidR="00FB5E8F" w:rsidRDefault="00FB5E8F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FB5E8F" w:rsidRPr="00CB3AA7" w:rsidRDefault="00FB5E8F" w:rsidP="00CB3AA7">
      <w:pPr>
        <w:pStyle w:val="Odstavecseseznamem"/>
        <w:numPr>
          <w:ilvl w:val="0"/>
          <w:numId w:val="17"/>
        </w:numPr>
        <w:autoSpaceDE w:val="0"/>
        <w:autoSpaceDN w:val="0"/>
        <w:rPr>
          <w:rFonts w:ascii="Arial" w:eastAsia="Times New Roman" w:hAnsi="Arial" w:cs="Arial"/>
          <w:spacing w:val="-1"/>
          <w:sz w:val="20"/>
          <w:szCs w:val="20"/>
        </w:rPr>
      </w:pPr>
      <w:r w:rsidRPr="00CB3AA7">
        <w:rPr>
          <w:rFonts w:ascii="Arial" w:hAnsi="Arial" w:cs="Arial"/>
          <w:spacing w:val="-1"/>
          <w:sz w:val="20"/>
          <w:szCs w:val="20"/>
        </w:rPr>
        <w:t>V</w:t>
      </w:r>
      <w:r w:rsidRPr="00CB3AA7">
        <w:rPr>
          <w:rFonts w:ascii="Arial" w:eastAsia="Times New Roman" w:hAnsi="Arial" w:cs="Arial"/>
          <w:spacing w:val="-1"/>
          <w:sz w:val="20"/>
          <w:szCs w:val="20"/>
        </w:rPr>
        <w:t>ýrobce je povinen registrovat nárok na podporu v systému CS OTE. V případě elektřiny registruje i druh podpory a ten může pro následující rok nejpozději v listopadu měnit.</w:t>
      </w:r>
    </w:p>
    <w:p w:rsidR="00A65AF8" w:rsidRPr="00CB3AA7" w:rsidRDefault="00A65AF8" w:rsidP="00CC323D">
      <w:pPr>
        <w:autoSpaceDE w:val="0"/>
        <w:autoSpaceDN w:val="0"/>
        <w:ind w:left="708"/>
        <w:rPr>
          <w:rFonts w:ascii="Arial" w:eastAsia="Times New Roman" w:hAnsi="Arial" w:cs="Arial"/>
          <w:spacing w:val="-1"/>
          <w:sz w:val="20"/>
          <w:szCs w:val="20"/>
        </w:rPr>
      </w:pPr>
    </w:p>
    <w:p w:rsidR="00A65AF8" w:rsidRPr="00CB3AA7" w:rsidRDefault="00A65AF8" w:rsidP="00A65AF8">
      <w:pPr>
        <w:ind w:left="708"/>
        <w:rPr>
          <w:rFonts w:ascii="Arial" w:eastAsia="Times New Roman" w:hAnsi="Arial" w:cs="Arial"/>
          <w:spacing w:val="-1"/>
          <w:sz w:val="20"/>
          <w:szCs w:val="20"/>
        </w:rPr>
      </w:pPr>
      <w:r w:rsidRPr="00CB3AA7">
        <w:rPr>
          <w:rFonts w:ascii="Arial" w:eastAsia="Times New Roman" w:hAnsi="Arial" w:cs="Arial"/>
          <w:spacing w:val="-1"/>
          <w:sz w:val="20"/>
          <w:szCs w:val="20"/>
        </w:rPr>
        <w:t>Vešk</w:t>
      </w:r>
      <w:r w:rsidR="00CB3AA7">
        <w:rPr>
          <w:rFonts w:ascii="Arial" w:eastAsia="Times New Roman" w:hAnsi="Arial" w:cs="Arial"/>
          <w:spacing w:val="-1"/>
          <w:sz w:val="20"/>
          <w:szCs w:val="20"/>
        </w:rPr>
        <w:t>eré registrace a změny bude</w:t>
      </w:r>
      <w:r w:rsidRPr="00CB3AA7">
        <w:rPr>
          <w:rFonts w:ascii="Arial" w:eastAsia="Times New Roman" w:hAnsi="Arial" w:cs="Arial"/>
          <w:spacing w:val="-1"/>
          <w:sz w:val="20"/>
          <w:szCs w:val="20"/>
        </w:rPr>
        <w:t xml:space="preserve"> výrobce</w:t>
      </w:r>
      <w:r w:rsidR="00CB3AA7">
        <w:rPr>
          <w:rFonts w:ascii="Arial" w:eastAsia="Times New Roman" w:hAnsi="Arial" w:cs="Arial"/>
          <w:spacing w:val="-1"/>
          <w:sz w:val="20"/>
          <w:szCs w:val="20"/>
        </w:rPr>
        <w:t xml:space="preserve"> provádět</w:t>
      </w:r>
      <w:r w:rsidRPr="00CB3AA7">
        <w:rPr>
          <w:rFonts w:ascii="Arial" w:eastAsia="Times New Roman" w:hAnsi="Arial" w:cs="Arial"/>
          <w:spacing w:val="-1"/>
          <w:sz w:val="20"/>
          <w:szCs w:val="20"/>
        </w:rPr>
        <w:t xml:space="preserve"> v CS OTE přímo, elektronickou form</w:t>
      </w:r>
      <w:r w:rsidR="004F3240">
        <w:rPr>
          <w:rFonts w:ascii="Arial" w:eastAsia="Times New Roman" w:hAnsi="Arial" w:cs="Arial"/>
          <w:spacing w:val="-1"/>
          <w:sz w:val="20"/>
          <w:szCs w:val="20"/>
        </w:rPr>
        <w:t>ou</w:t>
      </w:r>
      <w:r w:rsidR="00591441" w:rsidRPr="00CB3AA7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8F42E7" w:rsidRPr="00CB3AA7">
        <w:rPr>
          <w:rFonts w:ascii="Arial" w:eastAsia="Times New Roman" w:hAnsi="Arial" w:cs="Arial"/>
          <w:spacing w:val="-1"/>
          <w:sz w:val="20"/>
          <w:szCs w:val="20"/>
        </w:rPr>
        <w:t>zabezpečenou bezpečnostními prvky vydanými</w:t>
      </w:r>
      <w:r w:rsidRPr="00CB3AA7">
        <w:rPr>
          <w:rFonts w:ascii="Arial" w:eastAsia="Times New Roman" w:hAnsi="Arial" w:cs="Arial"/>
          <w:spacing w:val="-1"/>
          <w:sz w:val="20"/>
          <w:szCs w:val="20"/>
        </w:rPr>
        <w:t xml:space="preserve"> certifikační </w:t>
      </w:r>
      <w:r w:rsidR="008F42E7" w:rsidRPr="00CB3AA7">
        <w:rPr>
          <w:rFonts w:ascii="Arial" w:eastAsia="Times New Roman" w:hAnsi="Arial" w:cs="Arial"/>
          <w:spacing w:val="-1"/>
          <w:sz w:val="20"/>
          <w:szCs w:val="20"/>
        </w:rPr>
        <w:t>autoritou</w:t>
      </w:r>
      <w:r w:rsidRPr="00CB3AA7">
        <w:rPr>
          <w:rFonts w:ascii="Arial" w:eastAsia="Times New Roman" w:hAnsi="Arial" w:cs="Arial"/>
          <w:spacing w:val="-1"/>
          <w:sz w:val="20"/>
          <w:szCs w:val="20"/>
        </w:rPr>
        <w:t>. V některých částech bude umožněna registrace prostřednictvím provozovatelů sítí, zásobníků nebo vykupujícími obchodníky.</w:t>
      </w:r>
    </w:p>
    <w:p w:rsidR="00A65AF8" w:rsidRDefault="00A65AF8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FB5E8F" w:rsidRDefault="00FB5E8F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FB5E8F" w:rsidRDefault="00FB5E8F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 každou z výroben bude muset provozovatel sítě, resp. podzemního zásobníku ply</w:t>
      </w:r>
      <w:r w:rsidR="00601DB1">
        <w:rPr>
          <w:rFonts w:ascii="Arial" w:hAnsi="Arial" w:cs="Arial"/>
          <w:bCs/>
          <w:sz w:val="20"/>
          <w:szCs w:val="20"/>
        </w:rPr>
        <w:t>nu, zaregistrovat v CS OTE předáva</w:t>
      </w:r>
      <w:r w:rsidR="00346A58">
        <w:rPr>
          <w:rFonts w:ascii="Arial" w:hAnsi="Arial" w:cs="Arial"/>
          <w:bCs/>
          <w:sz w:val="20"/>
          <w:szCs w:val="20"/>
        </w:rPr>
        <w:t>cí místo výrobny připojené přímé k jím provozované soustavě i výrobny elektřiny připojené prostřednictvím odběrného místa nebo jiné výrobny.</w:t>
      </w:r>
    </w:p>
    <w:p w:rsidR="00FC6D7D" w:rsidRDefault="00FC6D7D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FC6D7D" w:rsidRPr="00CB3AA7" w:rsidRDefault="00FC6D7D" w:rsidP="00FC6D7D">
      <w:pPr>
        <w:ind w:left="708"/>
        <w:rPr>
          <w:rFonts w:ascii="Arial" w:hAnsi="Arial" w:cs="Arial"/>
          <w:color w:val="FF0000"/>
          <w:sz w:val="20"/>
          <w:szCs w:val="20"/>
        </w:rPr>
      </w:pPr>
      <w:r w:rsidRPr="00CB3AA7">
        <w:rPr>
          <w:rFonts w:ascii="Arial" w:eastAsia="Times New Roman" w:hAnsi="Arial" w:cs="Arial"/>
          <w:color w:val="000000"/>
          <w:spacing w:val="-1"/>
          <w:sz w:val="20"/>
          <w:szCs w:val="20"/>
        </w:rPr>
        <w:t>Součástí registrace je přiřazení</w:t>
      </w:r>
      <w:r w:rsidRPr="00CB3AA7">
        <w:rPr>
          <w:rFonts w:ascii="Arial" w:hAnsi="Arial" w:cs="Arial"/>
          <w:sz w:val="20"/>
          <w:szCs w:val="20"/>
        </w:rPr>
        <w:t xml:space="preserve"> obchodníka a subjektu odpovědného za odchylku k příslušné výrobně postupem dle Pravidel trhu v CS OTE.</w:t>
      </w:r>
    </w:p>
    <w:p w:rsidR="00FC6D7D" w:rsidRPr="00FC6D7D" w:rsidRDefault="00FC6D7D" w:rsidP="00FC6D7D">
      <w:pPr>
        <w:ind w:left="708"/>
        <w:rPr>
          <w:rFonts w:ascii="Arial" w:hAnsi="Arial" w:cs="Arial"/>
          <w:color w:val="FF0000"/>
        </w:rPr>
      </w:pPr>
    </w:p>
    <w:p w:rsidR="00DF76D4" w:rsidRDefault="00DF76D4" w:rsidP="00CC323D">
      <w:pPr>
        <w:autoSpaceDE w:val="0"/>
        <w:autoSpaceDN w:val="0"/>
        <w:ind w:left="708"/>
        <w:rPr>
          <w:rFonts w:ascii="Arial" w:hAnsi="Arial" w:cs="Arial"/>
          <w:bCs/>
          <w:sz w:val="20"/>
          <w:szCs w:val="20"/>
        </w:rPr>
      </w:pPr>
    </w:p>
    <w:p w:rsidR="00270B3A" w:rsidRPr="00CB3AA7" w:rsidRDefault="00270B3A" w:rsidP="008A39FC">
      <w:pPr>
        <w:ind w:left="708"/>
        <w:rPr>
          <w:rFonts w:ascii="Arial" w:hAnsi="Arial" w:cs="Arial"/>
          <w:sz w:val="20"/>
          <w:szCs w:val="20"/>
        </w:rPr>
      </w:pPr>
      <w:r w:rsidRPr="008A39FC">
        <w:rPr>
          <w:rFonts w:ascii="Arial" w:hAnsi="Arial" w:cs="Arial"/>
          <w:sz w:val="20"/>
          <w:szCs w:val="20"/>
        </w:rPr>
        <w:lastRenderedPageBreak/>
        <w:t>V CDS OTE bude registrována každá výrobna vlastním kódem EAN/EIC</w:t>
      </w:r>
      <w:r w:rsidR="008A39FC">
        <w:rPr>
          <w:rFonts w:ascii="Arial" w:hAnsi="Arial" w:cs="Arial"/>
          <w:sz w:val="20"/>
          <w:szCs w:val="20"/>
        </w:rPr>
        <w:t xml:space="preserve">. Předpokládaný </w:t>
      </w:r>
      <w:r w:rsidR="00B52342">
        <w:rPr>
          <w:rFonts w:ascii="Arial" w:hAnsi="Arial" w:cs="Arial"/>
          <w:sz w:val="20"/>
          <w:szCs w:val="20"/>
        </w:rPr>
        <w:t>r</w:t>
      </w:r>
      <w:r w:rsidRPr="00CB3AA7">
        <w:rPr>
          <w:rFonts w:ascii="Arial" w:hAnsi="Arial" w:cs="Arial"/>
          <w:sz w:val="20"/>
          <w:szCs w:val="20"/>
        </w:rPr>
        <w:t xml:space="preserve">ozsah registrovaných údajů o předávacím místě výrobny elektřiny a </w:t>
      </w:r>
      <w:proofErr w:type="spellStart"/>
      <w:r w:rsidRPr="00CB3AA7">
        <w:rPr>
          <w:rFonts w:ascii="Arial" w:hAnsi="Arial" w:cs="Arial"/>
          <w:sz w:val="20"/>
          <w:szCs w:val="20"/>
        </w:rPr>
        <w:t>biometanu</w:t>
      </w:r>
      <w:proofErr w:type="spellEnd"/>
      <w:r w:rsidRPr="00CB3AA7">
        <w:rPr>
          <w:rFonts w:ascii="Arial" w:hAnsi="Arial" w:cs="Arial"/>
          <w:sz w:val="20"/>
          <w:szCs w:val="20"/>
        </w:rPr>
        <w:t xml:space="preserve"> z</w:t>
      </w:r>
      <w:r w:rsidR="00095835">
        <w:rPr>
          <w:rFonts w:ascii="Arial" w:hAnsi="Arial" w:cs="Arial"/>
          <w:sz w:val="20"/>
          <w:szCs w:val="20"/>
        </w:rPr>
        <w:t> </w:t>
      </w:r>
      <w:r w:rsidRPr="00CB3AA7">
        <w:rPr>
          <w:rFonts w:ascii="Arial" w:hAnsi="Arial" w:cs="Arial"/>
          <w:sz w:val="20"/>
          <w:szCs w:val="20"/>
        </w:rPr>
        <w:t>bioplynu</w:t>
      </w:r>
      <w:r w:rsidR="00095835">
        <w:rPr>
          <w:rFonts w:ascii="Arial" w:hAnsi="Arial" w:cs="Arial"/>
          <w:sz w:val="20"/>
          <w:szCs w:val="20"/>
        </w:rPr>
        <w:t xml:space="preserve"> </w:t>
      </w:r>
      <w:r w:rsidR="00C36BB2">
        <w:rPr>
          <w:rFonts w:ascii="Arial" w:hAnsi="Arial" w:cs="Arial"/>
          <w:sz w:val="20"/>
          <w:szCs w:val="20"/>
        </w:rPr>
        <w:t>bude</w:t>
      </w:r>
      <w:r w:rsidRPr="00CB3AA7">
        <w:rPr>
          <w:rFonts w:ascii="Arial" w:hAnsi="Arial" w:cs="Arial"/>
          <w:sz w:val="20"/>
          <w:szCs w:val="20"/>
        </w:rPr>
        <w:t>:</w:t>
      </w:r>
    </w:p>
    <w:p w:rsidR="004C759A" w:rsidRPr="00CB3AA7" w:rsidRDefault="004C759A" w:rsidP="004F38D5">
      <w:pPr>
        <w:ind w:left="708"/>
        <w:rPr>
          <w:rFonts w:ascii="Arial" w:hAnsi="Arial" w:cs="Arial"/>
          <w:sz w:val="20"/>
          <w:szCs w:val="20"/>
        </w:rPr>
      </w:pP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Název výrobny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EAN 18 (pro elektroenergetiku)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EIC kód (pro plynárenství)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Adresa výrobny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Typ zdroje:</w:t>
      </w:r>
    </w:p>
    <w:p w:rsidR="00270B3A" w:rsidRPr="00CB3AA7" w:rsidRDefault="00270B3A" w:rsidP="004F38D5">
      <w:pPr>
        <w:pStyle w:val="Odstavecseseznamem"/>
        <w:numPr>
          <w:ilvl w:val="0"/>
          <w:numId w:val="4"/>
        </w:numPr>
        <w:ind w:left="142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OZE /sluneční, větrná vodní bioplyn biomasa geotermální/</w:t>
      </w:r>
    </w:p>
    <w:p w:rsidR="00270B3A" w:rsidRPr="00CB3AA7" w:rsidRDefault="00270B3A" w:rsidP="004F38D5">
      <w:pPr>
        <w:pStyle w:val="Odstavecseseznamem"/>
        <w:numPr>
          <w:ilvl w:val="0"/>
          <w:numId w:val="4"/>
        </w:numPr>
        <w:ind w:left="142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KVET</w:t>
      </w:r>
    </w:p>
    <w:p w:rsidR="00270B3A" w:rsidRPr="00CB3AA7" w:rsidRDefault="00270B3A" w:rsidP="004F38D5">
      <w:pPr>
        <w:pStyle w:val="Odstavecseseznamem"/>
        <w:numPr>
          <w:ilvl w:val="0"/>
          <w:numId w:val="4"/>
        </w:numPr>
        <w:ind w:left="142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Druhotný zdroj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Instalovaný výkon výrobny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Napěťová hladina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Typ měření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Číslo sítě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Datum uvedení do provozu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Zvolený druh podpory (scénář podpory)</w:t>
      </w:r>
    </w:p>
    <w:p w:rsidR="00270B3A" w:rsidRPr="004F38D5" w:rsidRDefault="00270B3A" w:rsidP="008A39FC">
      <w:pPr>
        <w:pStyle w:val="Odstavecseseznamem"/>
        <w:numPr>
          <w:ilvl w:val="0"/>
          <w:numId w:val="18"/>
        </w:numPr>
        <w:ind w:left="1428"/>
        <w:rPr>
          <w:rFonts w:ascii="Arial" w:hAnsi="Arial" w:cs="Arial"/>
          <w:sz w:val="20"/>
          <w:szCs w:val="20"/>
        </w:rPr>
      </w:pPr>
      <w:r w:rsidRPr="004F38D5">
        <w:rPr>
          <w:rFonts w:ascii="Arial" w:hAnsi="Arial" w:cs="Arial"/>
          <w:sz w:val="20"/>
          <w:szCs w:val="20"/>
        </w:rPr>
        <w:t>Režim výkupní ceny</w:t>
      </w:r>
    </w:p>
    <w:p w:rsidR="00270B3A" w:rsidRPr="004F38D5" w:rsidRDefault="00270B3A" w:rsidP="008A39FC">
      <w:pPr>
        <w:pStyle w:val="Odstavecseseznamem"/>
        <w:numPr>
          <w:ilvl w:val="0"/>
          <w:numId w:val="18"/>
        </w:numPr>
        <w:ind w:left="1428"/>
        <w:rPr>
          <w:rFonts w:ascii="Arial" w:hAnsi="Arial" w:cs="Arial"/>
          <w:sz w:val="20"/>
          <w:szCs w:val="20"/>
        </w:rPr>
      </w:pPr>
      <w:r w:rsidRPr="004F38D5">
        <w:rPr>
          <w:rFonts w:ascii="Arial" w:hAnsi="Arial" w:cs="Arial"/>
          <w:sz w:val="20"/>
          <w:szCs w:val="20"/>
        </w:rPr>
        <w:t>Zelený bonus (roční/hodinový)</w:t>
      </w:r>
    </w:p>
    <w:p w:rsidR="00270B3A" w:rsidRPr="004F38D5" w:rsidRDefault="00270B3A" w:rsidP="008A39FC">
      <w:pPr>
        <w:pStyle w:val="Odstavecseseznamem"/>
        <w:numPr>
          <w:ilvl w:val="0"/>
          <w:numId w:val="18"/>
        </w:numPr>
        <w:ind w:left="1428"/>
        <w:rPr>
          <w:rFonts w:ascii="Arial" w:hAnsi="Arial" w:cs="Arial"/>
          <w:sz w:val="20"/>
          <w:szCs w:val="20"/>
        </w:rPr>
      </w:pPr>
      <w:r w:rsidRPr="004F38D5">
        <w:rPr>
          <w:rFonts w:ascii="Arial" w:hAnsi="Arial" w:cs="Arial"/>
          <w:sz w:val="20"/>
          <w:szCs w:val="20"/>
        </w:rPr>
        <w:t>Zelený bonus + decentrální výroba</w:t>
      </w:r>
    </w:p>
    <w:p w:rsidR="004C759A" w:rsidRPr="00B52342" w:rsidRDefault="00270B3A" w:rsidP="008A39FC">
      <w:pPr>
        <w:pStyle w:val="Odstavecseseznamem"/>
        <w:numPr>
          <w:ilvl w:val="0"/>
          <w:numId w:val="14"/>
        </w:numPr>
        <w:ind w:left="142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Decentrální výroba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Název výrobce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EAN / EIC kód výrobce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Adresa sídla výrobce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Doručovací adresa výrobce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IČ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DIČ /pokud existuje/</w:t>
      </w:r>
    </w:p>
    <w:p w:rsidR="00270B3A" w:rsidRPr="00CB3AA7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 xml:space="preserve">Číslo bankovního spojení </w:t>
      </w:r>
    </w:p>
    <w:p w:rsidR="00270B3A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CB3AA7">
        <w:rPr>
          <w:rFonts w:ascii="Arial" w:hAnsi="Arial" w:cs="Arial"/>
          <w:sz w:val="20"/>
          <w:szCs w:val="20"/>
        </w:rPr>
        <w:t>Číslo licence na výrobu</w:t>
      </w:r>
    </w:p>
    <w:p w:rsidR="00B52342" w:rsidRPr="00CB3AA7" w:rsidRDefault="00B52342" w:rsidP="004F38D5">
      <w:pPr>
        <w:ind w:left="708"/>
        <w:rPr>
          <w:rFonts w:ascii="Arial" w:hAnsi="Arial" w:cs="Arial"/>
          <w:sz w:val="20"/>
          <w:szCs w:val="20"/>
        </w:rPr>
      </w:pPr>
    </w:p>
    <w:p w:rsidR="00270B3A" w:rsidRPr="00B52342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>Prováděcí předpis, resp. manuál OTE určí, které z údajů registruje nebo aktualizuje výhradně PDS/PPS, které výrobce nebo vykupující obchodník.</w:t>
      </w:r>
    </w:p>
    <w:p w:rsidR="00FC6D7D" w:rsidRPr="00B52342" w:rsidRDefault="00FC6D7D" w:rsidP="004F38D5">
      <w:pPr>
        <w:ind w:left="708"/>
        <w:rPr>
          <w:rFonts w:ascii="Arial" w:hAnsi="Arial" w:cs="Arial"/>
          <w:sz w:val="20"/>
          <w:szCs w:val="20"/>
        </w:rPr>
      </w:pPr>
    </w:p>
    <w:p w:rsidR="00270B3A" w:rsidRPr="00B52342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 xml:space="preserve">Výrobce elektřiny i  vykupující/povinně vykupující může registrovat následující změny svých kmenových údajů přímo v CS OTE dálkovým </w:t>
      </w:r>
      <w:r w:rsidR="00B52342">
        <w:rPr>
          <w:rFonts w:ascii="Arial" w:hAnsi="Arial" w:cs="Arial"/>
          <w:sz w:val="20"/>
          <w:szCs w:val="20"/>
        </w:rPr>
        <w:t xml:space="preserve">zabezpečeným </w:t>
      </w:r>
      <w:r w:rsidRPr="00B52342">
        <w:rPr>
          <w:rFonts w:ascii="Arial" w:hAnsi="Arial" w:cs="Arial"/>
          <w:sz w:val="20"/>
          <w:szCs w:val="20"/>
        </w:rPr>
        <w:t>přístupem:</w:t>
      </w:r>
    </w:p>
    <w:p w:rsidR="004F38D5" w:rsidRDefault="004F38D5" w:rsidP="004F38D5">
      <w:pPr>
        <w:ind w:left="708"/>
        <w:rPr>
          <w:rFonts w:ascii="Arial" w:hAnsi="Arial" w:cs="Arial"/>
          <w:sz w:val="20"/>
          <w:szCs w:val="20"/>
        </w:rPr>
      </w:pPr>
    </w:p>
    <w:p w:rsidR="00270B3A" w:rsidRPr="00B52342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>Údaje týkající se výrobny mění výrobce, příp. PDS:</w:t>
      </w:r>
    </w:p>
    <w:p w:rsidR="00270B3A" w:rsidRPr="00B52342" w:rsidRDefault="00270B3A" w:rsidP="004F38D5">
      <w:pPr>
        <w:pStyle w:val="Odstavecseseznamem"/>
        <w:numPr>
          <w:ilvl w:val="0"/>
          <w:numId w:val="3"/>
        </w:numPr>
        <w:ind w:left="142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>Zvolený druh podpory může měnit výrobce podle zákona, změnu bude registrovat i PDS pokud po rekonstrukci výrobny dojde ke změnám kmenových dat.</w:t>
      </w:r>
    </w:p>
    <w:p w:rsidR="00270B3A" w:rsidRPr="00B52342" w:rsidRDefault="00270B3A" w:rsidP="004F38D5">
      <w:pPr>
        <w:pStyle w:val="Odstavecseseznamem"/>
        <w:numPr>
          <w:ilvl w:val="0"/>
          <w:numId w:val="3"/>
        </w:numPr>
        <w:ind w:left="142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>Změna sazby zeleného bonusu dle Cenového rozhodnutí v případě rekonstrukce.</w:t>
      </w:r>
    </w:p>
    <w:p w:rsidR="00270B3A" w:rsidRPr="00B52342" w:rsidRDefault="00270B3A" w:rsidP="004F38D5">
      <w:pPr>
        <w:pStyle w:val="Odstavecseseznamem"/>
        <w:numPr>
          <w:ilvl w:val="0"/>
          <w:numId w:val="3"/>
        </w:numPr>
        <w:ind w:left="142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>Rozšíření výrobny bude posuzováno jako nová, samostatně m</w:t>
      </w:r>
      <w:r w:rsidR="009A1C40" w:rsidRPr="00B52342">
        <w:rPr>
          <w:rFonts w:ascii="Arial" w:hAnsi="Arial" w:cs="Arial"/>
          <w:sz w:val="20"/>
          <w:szCs w:val="20"/>
        </w:rPr>
        <w:t>ě</w:t>
      </w:r>
      <w:r w:rsidRPr="00B52342">
        <w:rPr>
          <w:rFonts w:ascii="Arial" w:hAnsi="Arial" w:cs="Arial"/>
          <w:sz w:val="20"/>
          <w:szCs w:val="20"/>
        </w:rPr>
        <w:t>řená výrobna.</w:t>
      </w:r>
    </w:p>
    <w:p w:rsidR="00270B3A" w:rsidRPr="00B52342" w:rsidRDefault="00270B3A" w:rsidP="004F38D5">
      <w:pPr>
        <w:ind w:left="70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>Údaje týkající se registrovaného účastníka trhu (výrobce / vykupující / povinně vykupující):</w:t>
      </w:r>
    </w:p>
    <w:p w:rsidR="00270B3A" w:rsidRPr="00B52342" w:rsidRDefault="00270B3A" w:rsidP="004F38D5">
      <w:pPr>
        <w:pStyle w:val="Odstavecseseznamem"/>
        <w:numPr>
          <w:ilvl w:val="0"/>
          <w:numId w:val="3"/>
        </w:numPr>
        <w:ind w:left="142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 xml:space="preserve">Změna názvu, </w:t>
      </w:r>
      <w:r w:rsidR="00C36BB2">
        <w:rPr>
          <w:rFonts w:ascii="Arial" w:hAnsi="Arial" w:cs="Arial"/>
          <w:sz w:val="20"/>
          <w:szCs w:val="20"/>
        </w:rPr>
        <w:t xml:space="preserve">nebo </w:t>
      </w:r>
      <w:r w:rsidRPr="00B52342">
        <w:rPr>
          <w:rFonts w:ascii="Arial" w:hAnsi="Arial" w:cs="Arial"/>
          <w:sz w:val="20"/>
          <w:szCs w:val="20"/>
        </w:rPr>
        <w:t>adresy pokud byla zároveň změněna v registraci licencí na ERU a Obchodním rejstříku.</w:t>
      </w:r>
    </w:p>
    <w:p w:rsidR="00270B3A" w:rsidRPr="00B52342" w:rsidRDefault="00270B3A" w:rsidP="004F38D5">
      <w:pPr>
        <w:pStyle w:val="Odstavecseseznamem"/>
        <w:numPr>
          <w:ilvl w:val="0"/>
          <w:numId w:val="3"/>
        </w:numPr>
        <w:ind w:left="1428"/>
        <w:rPr>
          <w:rFonts w:ascii="Arial" w:hAnsi="Arial" w:cs="Arial"/>
          <w:sz w:val="20"/>
          <w:szCs w:val="20"/>
        </w:rPr>
      </w:pPr>
      <w:r w:rsidRPr="00B52342">
        <w:rPr>
          <w:rFonts w:ascii="Arial" w:hAnsi="Arial" w:cs="Arial"/>
          <w:sz w:val="20"/>
          <w:szCs w:val="20"/>
        </w:rPr>
        <w:t xml:space="preserve">Změnu bankovního spojení a adresy pro zasílání pošty vč. </w:t>
      </w:r>
      <w:r w:rsidR="000061FF" w:rsidRPr="00B52342">
        <w:rPr>
          <w:rFonts w:ascii="Arial" w:hAnsi="Arial" w:cs="Arial"/>
          <w:sz w:val="20"/>
          <w:szCs w:val="20"/>
        </w:rPr>
        <w:t>e</w:t>
      </w:r>
      <w:r w:rsidRPr="00B52342">
        <w:rPr>
          <w:rFonts w:ascii="Arial" w:hAnsi="Arial" w:cs="Arial"/>
          <w:sz w:val="20"/>
          <w:szCs w:val="20"/>
        </w:rPr>
        <w:t>lektronické.</w:t>
      </w:r>
    </w:p>
    <w:p w:rsidR="00270B3A" w:rsidRPr="009D45F3" w:rsidRDefault="00270B3A" w:rsidP="004F38D5">
      <w:pPr>
        <w:ind w:left="708"/>
        <w:rPr>
          <w:rFonts w:ascii="Arial" w:hAnsi="Arial" w:cs="Arial"/>
        </w:rPr>
      </w:pPr>
    </w:p>
    <w:p w:rsidR="00270B3A" w:rsidRDefault="00270B3A" w:rsidP="00270B3A">
      <w:pPr>
        <w:jc w:val="center"/>
        <w:rPr>
          <w:rFonts w:ascii="Arial" w:hAnsi="Arial" w:cs="Arial"/>
          <w:b/>
          <w:sz w:val="28"/>
          <w:szCs w:val="28"/>
        </w:rPr>
      </w:pPr>
    </w:p>
    <w:p w:rsidR="00B036AA" w:rsidRDefault="00B036AA" w:rsidP="00270B3A">
      <w:pPr>
        <w:jc w:val="center"/>
        <w:rPr>
          <w:rFonts w:ascii="Arial" w:hAnsi="Arial" w:cs="Arial"/>
          <w:b/>
          <w:sz w:val="28"/>
          <w:szCs w:val="28"/>
        </w:rPr>
      </w:pPr>
    </w:p>
    <w:p w:rsidR="00B036AA" w:rsidRDefault="00B036AA" w:rsidP="00270B3A">
      <w:pPr>
        <w:jc w:val="center"/>
        <w:rPr>
          <w:rFonts w:ascii="Arial" w:hAnsi="Arial" w:cs="Arial"/>
          <w:b/>
          <w:sz w:val="28"/>
          <w:szCs w:val="28"/>
        </w:rPr>
      </w:pPr>
    </w:p>
    <w:p w:rsidR="00B036AA" w:rsidRDefault="00B036AA" w:rsidP="00270B3A">
      <w:pPr>
        <w:jc w:val="center"/>
        <w:rPr>
          <w:rFonts w:ascii="Arial" w:hAnsi="Arial" w:cs="Arial"/>
          <w:b/>
          <w:sz w:val="28"/>
          <w:szCs w:val="28"/>
        </w:rPr>
      </w:pPr>
    </w:p>
    <w:p w:rsidR="00270B3A" w:rsidRDefault="00270B3A" w:rsidP="00270B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Datové </w:t>
      </w:r>
      <w:r w:rsidR="00180B16">
        <w:rPr>
          <w:rFonts w:ascii="Arial" w:hAnsi="Arial" w:cs="Arial"/>
          <w:b/>
          <w:sz w:val="28"/>
          <w:szCs w:val="28"/>
        </w:rPr>
        <w:t xml:space="preserve">a finanční </w:t>
      </w:r>
      <w:r>
        <w:rPr>
          <w:rFonts w:ascii="Arial" w:hAnsi="Arial" w:cs="Arial"/>
          <w:b/>
          <w:sz w:val="28"/>
          <w:szCs w:val="28"/>
        </w:rPr>
        <w:t>toky po registraci účastníků</w:t>
      </w:r>
    </w:p>
    <w:p w:rsidR="00270B3A" w:rsidRPr="00B8020A" w:rsidRDefault="00270B3A" w:rsidP="00F80A88">
      <w:pPr>
        <w:rPr>
          <w:rFonts w:ascii="Arial" w:hAnsi="Arial" w:cs="Arial"/>
          <w:b/>
          <w:sz w:val="28"/>
          <w:szCs w:val="28"/>
        </w:rPr>
      </w:pPr>
    </w:p>
    <w:p w:rsidR="00AE5405" w:rsidRPr="004F38D5" w:rsidRDefault="00F80A88" w:rsidP="00346A58">
      <w:pPr>
        <w:ind w:left="708"/>
        <w:rPr>
          <w:rFonts w:ascii="Arial" w:eastAsia="Times New Roman" w:hAnsi="Arial" w:cs="Arial"/>
          <w:color w:val="000000"/>
          <w:spacing w:val="-1"/>
          <w:sz w:val="20"/>
          <w:szCs w:val="20"/>
        </w:rPr>
      </w:pPr>
      <w:r w:rsidRPr="004F38D5">
        <w:rPr>
          <w:rFonts w:ascii="Arial" w:hAnsi="Arial" w:cs="Arial"/>
          <w:sz w:val="20"/>
          <w:szCs w:val="20"/>
        </w:rPr>
        <w:t xml:space="preserve">V případě </w:t>
      </w:r>
      <w:r w:rsidR="00270B3A" w:rsidRPr="004F38D5">
        <w:rPr>
          <w:rFonts w:ascii="Arial" w:hAnsi="Arial" w:cs="Arial"/>
          <w:sz w:val="20"/>
          <w:szCs w:val="20"/>
        </w:rPr>
        <w:t xml:space="preserve">varianty </w:t>
      </w:r>
      <w:r w:rsidRPr="004F38D5">
        <w:rPr>
          <w:rFonts w:ascii="Arial" w:hAnsi="Arial" w:cs="Arial"/>
          <w:sz w:val="20"/>
          <w:szCs w:val="20"/>
        </w:rPr>
        <w:t xml:space="preserve">podpory formou povinného výkupu </w:t>
      </w:r>
      <w:r w:rsidR="00270B3A" w:rsidRPr="004F38D5">
        <w:rPr>
          <w:rFonts w:ascii="Arial" w:hAnsi="Arial" w:cs="Arial"/>
          <w:b/>
          <w:sz w:val="20"/>
          <w:szCs w:val="20"/>
        </w:rPr>
        <w:t xml:space="preserve">za </w:t>
      </w:r>
      <w:r w:rsidR="009A1C40" w:rsidRPr="004F38D5">
        <w:rPr>
          <w:rFonts w:ascii="Arial" w:hAnsi="Arial" w:cs="Arial"/>
          <w:b/>
          <w:sz w:val="20"/>
          <w:szCs w:val="20"/>
        </w:rPr>
        <w:t>výkupní</w:t>
      </w:r>
      <w:r w:rsidR="00270B3A" w:rsidRPr="004F38D5">
        <w:rPr>
          <w:rFonts w:ascii="Arial" w:hAnsi="Arial" w:cs="Arial"/>
          <w:b/>
          <w:sz w:val="20"/>
          <w:szCs w:val="20"/>
        </w:rPr>
        <w:t xml:space="preserve"> cenu</w:t>
      </w:r>
      <w:r w:rsidRPr="004F38D5">
        <w:rPr>
          <w:rFonts w:ascii="Arial" w:hAnsi="Arial" w:cs="Arial"/>
          <w:sz w:val="20"/>
          <w:szCs w:val="20"/>
        </w:rPr>
        <w:t xml:space="preserve"> pro</w:t>
      </w:r>
      <w:r w:rsidR="00270B3A" w:rsidRPr="004F38D5">
        <w:rPr>
          <w:rFonts w:ascii="Arial" w:hAnsi="Arial" w:cs="Arial"/>
          <w:sz w:val="20"/>
          <w:szCs w:val="20"/>
        </w:rPr>
        <w:t xml:space="preserve"> malé vodní elektrárny do 10 MW včetně, ostatní zdroje do 100 kW včetně</w:t>
      </w:r>
      <w:r w:rsidRPr="004F38D5">
        <w:rPr>
          <w:rFonts w:ascii="Arial" w:hAnsi="Arial" w:cs="Arial"/>
          <w:sz w:val="20"/>
          <w:szCs w:val="20"/>
        </w:rPr>
        <w:t xml:space="preserve"> </w:t>
      </w:r>
      <w:r w:rsidR="00346A58">
        <w:rPr>
          <w:rFonts w:ascii="Arial" w:hAnsi="Arial" w:cs="Arial"/>
          <w:sz w:val="20"/>
          <w:szCs w:val="20"/>
        </w:rPr>
        <w:t>bude naměřené údaje o výrobě a hodnoty ostatní lokální spotřeby</w:t>
      </w:r>
      <w:r w:rsidR="00346A58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předávat do </w:t>
      </w:r>
      <w:r w:rsidR="00270B3A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CS OTE</w:t>
      </w: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příslušný provozovatel sítě v členění </w:t>
      </w:r>
      <w:r w:rsidR="00AE5405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po jednotlivých hodinách dne </w:t>
      </w:r>
      <w:r w:rsidR="006913BA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podle jednotlivých druhů obnovitelných zdrojů</w:t>
      </w:r>
      <w:r w:rsidR="00AE5405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.</w:t>
      </w:r>
      <w:r w:rsidR="00AE5405" w:rsidRPr="004F38D5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="00AE5405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OTE a povinně vykupující si vypořádají rozdíl </w:t>
      </w:r>
      <w:r w:rsidR="00270B3A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výkupní ceny a tržní ceny na denním trhu v každé hodině</w:t>
      </w:r>
      <w:r w:rsidR="00AE5405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, vč.</w:t>
      </w:r>
      <w:r w:rsidR="00270B3A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cen</w:t>
      </w:r>
      <w:r w:rsidR="00AE5405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y</w:t>
      </w:r>
      <w:r w:rsidR="00270B3A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za činnost povinně vykupujícího</w:t>
      </w:r>
      <w:r w:rsidR="00AE5405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.</w:t>
      </w:r>
    </w:p>
    <w:p w:rsidR="00AE5405" w:rsidRPr="004F38D5" w:rsidRDefault="00AE5405" w:rsidP="00410C6F">
      <w:pPr>
        <w:ind w:left="708"/>
        <w:rPr>
          <w:rFonts w:ascii="Arial" w:eastAsia="Times New Roman" w:hAnsi="Arial" w:cs="Arial"/>
          <w:color w:val="000000"/>
          <w:spacing w:val="-1"/>
          <w:sz w:val="20"/>
          <w:szCs w:val="20"/>
        </w:rPr>
      </w:pP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Mezi povinně vykupujícím obchodníkem a výrobcem proběhne fakturace za energii</w:t>
      </w:r>
      <w:r w:rsidR="006913BA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,</w:t>
      </w: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která byla dodána z jednotlivých výroben do sítě.</w:t>
      </w:r>
    </w:p>
    <w:p w:rsidR="00AE5405" w:rsidRPr="004F38D5" w:rsidRDefault="00AE5405" w:rsidP="00410C6F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M</w:t>
      </w:r>
      <w:r w:rsidR="00270B3A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ezi provozovatelem a výrobcem </w:t>
      </w: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proběhne vypořádání</w:t>
      </w:r>
      <w:r w:rsidR="00270B3A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 služby vztahující se k lokální spotřebě výrobce</w:t>
      </w: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270B3A" w:rsidRPr="004F38D5" w:rsidRDefault="00270B3A" w:rsidP="004F38D5">
      <w:pPr>
        <w:tabs>
          <w:tab w:val="left" w:pos="1601"/>
        </w:tabs>
        <w:spacing w:after="120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:rsidR="00270B3A" w:rsidRPr="004F38D5" w:rsidRDefault="00410C6F" w:rsidP="00180B16">
      <w:pPr>
        <w:ind w:left="708"/>
        <w:rPr>
          <w:rFonts w:ascii="Arial" w:eastAsia="Times New Roman" w:hAnsi="Arial" w:cs="Arial"/>
          <w:color w:val="000000"/>
          <w:spacing w:val="-1"/>
          <w:sz w:val="20"/>
          <w:szCs w:val="20"/>
        </w:rPr>
      </w:pP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V případě varianty podpory formou zeleného bonusu /tj. roční zelený bonus u výroben do 100 kW a hodinový zelený bonus u výroben nad 100 kW</w:t>
      </w:r>
      <w:r w:rsidR="00C36BB2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/ </w:t>
      </w: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bude zadávat výrobce naměřené údaje o výrobě a o své lokální vlastní spotřebě bez technologické vlastní spotřeby do systému OT</w:t>
      </w:r>
      <w:r w:rsid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E přímo zabezpečeným vzdálen</w:t>
      </w: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ým přístupem. Provozovatel distribuční soustavy bude zadávat údaje o naměřené výrobě předané do distribuční soustavy. </w:t>
      </w:r>
      <w:r w:rsidR="0068425C"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Konkrétní postup bude popsán prováděcími předpisy. </w:t>
      </w:r>
    </w:p>
    <w:p w:rsidR="0080530D" w:rsidRPr="004F38D5" w:rsidRDefault="0080530D" w:rsidP="0068425C">
      <w:pPr>
        <w:rPr>
          <w:rFonts w:ascii="Arial" w:eastAsia="Times New Roman" w:hAnsi="Arial" w:cs="Arial"/>
          <w:color w:val="000000"/>
          <w:spacing w:val="-1"/>
          <w:sz w:val="20"/>
          <w:szCs w:val="20"/>
        </w:rPr>
      </w:pPr>
    </w:p>
    <w:p w:rsidR="0080530D" w:rsidRPr="004F38D5" w:rsidRDefault="0080530D" w:rsidP="0080530D">
      <w:pPr>
        <w:ind w:left="708"/>
        <w:rPr>
          <w:rFonts w:ascii="Arial" w:eastAsia="Times New Roman" w:hAnsi="Arial" w:cs="Arial"/>
          <w:color w:val="000000"/>
          <w:spacing w:val="-1"/>
          <w:sz w:val="20"/>
          <w:szCs w:val="20"/>
        </w:rPr>
      </w:pP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Mezi výrobcem a vykupujícím obchodníkem prob</w:t>
      </w:r>
      <w:r w:rsid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ěhne fakturace objemu dodaného do sítě za dohodnutou cenu </w:t>
      </w: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z jednotlivých výroben. </w:t>
      </w:r>
    </w:p>
    <w:p w:rsidR="0080530D" w:rsidRPr="004F38D5" w:rsidRDefault="0080530D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F38D5">
        <w:rPr>
          <w:rFonts w:ascii="Arial" w:eastAsia="Times New Roman" w:hAnsi="Arial" w:cs="Arial"/>
          <w:color w:val="000000"/>
          <w:spacing w:val="-1"/>
          <w:sz w:val="20"/>
          <w:szCs w:val="20"/>
        </w:rPr>
        <w:t>M</w:t>
      </w: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ezi výrobcem a provozovatelem sítě proběhne vypořádání za služby vztahující se k lokální spotřebě výrobce a případně další distribuční služby.</w:t>
      </w:r>
    </w:p>
    <w:p w:rsidR="00271E28" w:rsidRPr="004F38D5" w:rsidRDefault="00271E28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Mezi výrobcem a OTE dojde k </w:t>
      </w:r>
      <w:r w:rsidR="004D0665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platbě</w:t>
      </w: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podpory zeleným bonusem</w:t>
      </w:r>
      <w:r w:rsidR="004D0665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Výše platby se bude odvíjet od objemu výroby energie ekologicky šetrným způsobem a výše zeleného bonusu, kterou</w:t>
      </w:r>
      <w:r w:rsid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určí ERU</w:t>
      </w:r>
      <w:r w:rsidR="004D0665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Toto plnění bude vyúčtováno dokladem, který nebude daňovým dokladem ve smyslu režimu DPH.</w:t>
      </w: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180B16" w:rsidRPr="004F38D5" w:rsidRDefault="00180B16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80B16" w:rsidRPr="004F38D5" w:rsidRDefault="00180B16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46A58" w:rsidRDefault="00180B16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Shora uvedené informace budou adekvátně platit i pro podporu výroby biometanu. Provozní podporu tepla, stejně jako příspěvek za </w:t>
      </w:r>
      <w:r w:rsidR="00DC62B0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decentr</w:t>
      </w:r>
      <w:r w:rsidR="00DC62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ální</w:t>
      </w:r>
      <w:r w:rsid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výrobu a kombinovanou výrobu elektřiny a tepla v této předběžné informaci neuvádíme. </w:t>
      </w:r>
      <w:r w:rsidR="00346A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Informace bude doplněna později.</w:t>
      </w:r>
    </w:p>
    <w:p w:rsidR="00346A58" w:rsidRDefault="00346A58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80B16" w:rsidRPr="004F38D5" w:rsidRDefault="00346A58" w:rsidP="0080530D">
      <w:pPr>
        <w:ind w:left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Stejně tak t</w:t>
      </w:r>
      <w:r w:rsidR="00180B16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ermíny zúčtování a další konkrétní postupy budeme zveřejňovat průběžně podle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postupu prací na řešení a obsahu</w:t>
      </w:r>
      <w:r w:rsidR="00180B16" w:rsidRPr="004F38D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prováděcích předpisů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546B4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 provozovateli distribučních sítí byla zahájena diskuse o postupu změn současných právních vztahů a o plánu migrace kmenových dat do CS OTE. </w:t>
      </w:r>
    </w:p>
    <w:p w:rsidR="0080530D" w:rsidRPr="00B0274C" w:rsidRDefault="0080530D" w:rsidP="0068425C">
      <w:pPr>
        <w:rPr>
          <w:i/>
        </w:rPr>
      </w:pPr>
    </w:p>
    <w:p w:rsidR="00270B3A" w:rsidRPr="008A5C78" w:rsidRDefault="00270B3A" w:rsidP="00270B3A">
      <w:pPr>
        <w:spacing w:after="120"/>
        <w:rPr>
          <w:rFonts w:ascii="Arial" w:eastAsia="Times New Roman" w:hAnsi="Arial" w:cs="Arial"/>
          <w:lang w:eastAsia="cs-CZ"/>
        </w:rPr>
      </w:pPr>
    </w:p>
    <w:p w:rsidR="00270B3A" w:rsidRDefault="00270B3A" w:rsidP="00270B3A">
      <w:pPr>
        <w:rPr>
          <w:rFonts w:ascii="Arial" w:eastAsia="Times New Roman" w:hAnsi="Arial" w:cs="Arial"/>
          <w:color w:val="000000"/>
          <w:spacing w:val="-2"/>
        </w:rPr>
      </w:pPr>
      <w:bookmarkStart w:id="0" w:name="_GoBack"/>
      <w:bookmarkEnd w:id="0"/>
    </w:p>
    <w:sectPr w:rsidR="00270B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1A" w:rsidRDefault="00BB381A" w:rsidP="00B036AA">
      <w:r>
        <w:separator/>
      </w:r>
    </w:p>
  </w:endnote>
  <w:endnote w:type="continuationSeparator" w:id="0">
    <w:p w:rsidR="00BB381A" w:rsidRDefault="00BB381A" w:rsidP="00B0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058417"/>
      <w:docPartObj>
        <w:docPartGallery w:val="Page Numbers (Bottom of Page)"/>
        <w:docPartUnique/>
      </w:docPartObj>
    </w:sdtPr>
    <w:sdtContent>
      <w:p w:rsidR="00B036AA" w:rsidRDefault="00B036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036AA" w:rsidRDefault="00B036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1A" w:rsidRDefault="00BB381A" w:rsidP="00B036AA">
      <w:r>
        <w:separator/>
      </w:r>
    </w:p>
  </w:footnote>
  <w:footnote w:type="continuationSeparator" w:id="0">
    <w:p w:rsidR="00BB381A" w:rsidRDefault="00BB381A" w:rsidP="00B0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45A"/>
    <w:multiLevelType w:val="hybridMultilevel"/>
    <w:tmpl w:val="E06C1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BE0"/>
    <w:multiLevelType w:val="hybridMultilevel"/>
    <w:tmpl w:val="0E4CFAC0"/>
    <w:lvl w:ilvl="0" w:tplc="F8EC2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A4E15"/>
    <w:multiLevelType w:val="hybridMultilevel"/>
    <w:tmpl w:val="501497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466790"/>
    <w:multiLevelType w:val="hybridMultilevel"/>
    <w:tmpl w:val="87B23138"/>
    <w:lvl w:ilvl="0" w:tplc="F8EC2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D583A"/>
    <w:multiLevelType w:val="hybridMultilevel"/>
    <w:tmpl w:val="289EAB92"/>
    <w:lvl w:ilvl="0" w:tplc="1BFC07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67C9F"/>
    <w:multiLevelType w:val="hybridMultilevel"/>
    <w:tmpl w:val="4A5AB7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B227E"/>
    <w:multiLevelType w:val="hybridMultilevel"/>
    <w:tmpl w:val="56962A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845ADC"/>
    <w:multiLevelType w:val="hybridMultilevel"/>
    <w:tmpl w:val="289EAB92"/>
    <w:lvl w:ilvl="0" w:tplc="1BFC07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564889"/>
    <w:multiLevelType w:val="hybridMultilevel"/>
    <w:tmpl w:val="C42C5F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7AD"/>
    <w:multiLevelType w:val="hybridMultilevel"/>
    <w:tmpl w:val="D45C4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30FBB"/>
    <w:multiLevelType w:val="hybridMultilevel"/>
    <w:tmpl w:val="4A5AB7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853B7"/>
    <w:multiLevelType w:val="hybridMultilevel"/>
    <w:tmpl w:val="4A5AB7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8348B"/>
    <w:multiLevelType w:val="hybridMultilevel"/>
    <w:tmpl w:val="81D8CFC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4A778ED"/>
    <w:multiLevelType w:val="hybridMultilevel"/>
    <w:tmpl w:val="82BA9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134DE"/>
    <w:multiLevelType w:val="hybridMultilevel"/>
    <w:tmpl w:val="8076B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A1F71"/>
    <w:multiLevelType w:val="hybridMultilevel"/>
    <w:tmpl w:val="1060B7EC"/>
    <w:lvl w:ilvl="0" w:tplc="2F90F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74A5B"/>
    <w:multiLevelType w:val="hybridMultilevel"/>
    <w:tmpl w:val="855A6F3A"/>
    <w:lvl w:ilvl="0" w:tplc="F8EC2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85BE2"/>
    <w:multiLevelType w:val="hybridMultilevel"/>
    <w:tmpl w:val="50F08D00"/>
    <w:lvl w:ilvl="0" w:tplc="F8EC2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3"/>
  </w:num>
  <w:num w:numId="8">
    <w:abstractNumId w:val="17"/>
  </w:num>
  <w:num w:numId="9">
    <w:abstractNumId w:val="10"/>
  </w:num>
  <w:num w:numId="10">
    <w:abstractNumId w:val="1"/>
  </w:num>
  <w:num w:numId="11">
    <w:abstractNumId w:val="13"/>
  </w:num>
  <w:num w:numId="12">
    <w:abstractNumId w:val="14"/>
  </w:num>
  <w:num w:numId="13">
    <w:abstractNumId w:val="5"/>
  </w:num>
  <w:num w:numId="14">
    <w:abstractNumId w:val="6"/>
  </w:num>
  <w:num w:numId="15">
    <w:abstractNumId w:val="16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DB"/>
    <w:rsid w:val="000061FF"/>
    <w:rsid w:val="00036ACE"/>
    <w:rsid w:val="000674CD"/>
    <w:rsid w:val="00095835"/>
    <w:rsid w:val="00180B16"/>
    <w:rsid w:val="00215A1E"/>
    <w:rsid w:val="00230148"/>
    <w:rsid w:val="00270B3A"/>
    <w:rsid w:val="00271E28"/>
    <w:rsid w:val="00346A58"/>
    <w:rsid w:val="003A1288"/>
    <w:rsid w:val="003B08DB"/>
    <w:rsid w:val="00410C6F"/>
    <w:rsid w:val="004C759A"/>
    <w:rsid w:val="004D0665"/>
    <w:rsid w:val="004F3240"/>
    <w:rsid w:val="004F38D5"/>
    <w:rsid w:val="00546B42"/>
    <w:rsid w:val="00591441"/>
    <w:rsid w:val="00595674"/>
    <w:rsid w:val="00601DB1"/>
    <w:rsid w:val="00681C30"/>
    <w:rsid w:val="0068425C"/>
    <w:rsid w:val="006913BA"/>
    <w:rsid w:val="0079157D"/>
    <w:rsid w:val="0080379B"/>
    <w:rsid w:val="0080530D"/>
    <w:rsid w:val="008A39FC"/>
    <w:rsid w:val="008F42E7"/>
    <w:rsid w:val="0094570B"/>
    <w:rsid w:val="009A1C40"/>
    <w:rsid w:val="009B5CD1"/>
    <w:rsid w:val="00A44425"/>
    <w:rsid w:val="00A65AF8"/>
    <w:rsid w:val="00AB0E89"/>
    <w:rsid w:val="00AE5405"/>
    <w:rsid w:val="00B036AA"/>
    <w:rsid w:val="00B15693"/>
    <w:rsid w:val="00B52342"/>
    <w:rsid w:val="00BB381A"/>
    <w:rsid w:val="00C36BB2"/>
    <w:rsid w:val="00CB3AA7"/>
    <w:rsid w:val="00CC323D"/>
    <w:rsid w:val="00DC62B0"/>
    <w:rsid w:val="00DF76D4"/>
    <w:rsid w:val="00F80A88"/>
    <w:rsid w:val="00FB5E8F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4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15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0B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komente">
    <w:name w:val="annotation text"/>
    <w:basedOn w:val="Normln"/>
    <w:link w:val="TextkomenteChar"/>
    <w:uiPriority w:val="99"/>
    <w:unhideWhenUsed/>
    <w:rsid w:val="00270B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0B3A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70B3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01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0148"/>
    <w:pPr>
      <w:spacing w:after="0"/>
    </w:pPr>
    <w:rPr>
      <w:rFonts w:ascii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148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3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36A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03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36A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4C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15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0B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Textkomente">
    <w:name w:val="annotation text"/>
    <w:basedOn w:val="Normln"/>
    <w:link w:val="TextkomenteChar"/>
    <w:uiPriority w:val="99"/>
    <w:unhideWhenUsed/>
    <w:rsid w:val="00270B3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0B3A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270B3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01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0148"/>
    <w:pPr>
      <w:spacing w:after="0"/>
    </w:pPr>
    <w:rPr>
      <w:rFonts w:ascii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148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3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36A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03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36A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Stastny, Jiri</dc:creator>
  <cp:lastModifiedBy>Raska, Michal</cp:lastModifiedBy>
  <cp:revision>4</cp:revision>
  <dcterms:created xsi:type="dcterms:W3CDTF">2012-05-31T09:09:00Z</dcterms:created>
  <dcterms:modified xsi:type="dcterms:W3CDTF">2012-05-31T09:27:00Z</dcterms:modified>
</cp:coreProperties>
</file>