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FC0B" w14:textId="7C54C437" w:rsidR="00C812CE" w:rsidRDefault="00D803AF">
      <w:r>
        <w:rPr>
          <w:noProof/>
        </w:rPr>
        <w:pict w14:anchorId="2B4CD05D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187.95pt;margin-top:15.9pt;width:477.9pt;height:42.8pt;z-index:251663360;visibility:visible;mso-position-horizontal-relative:page;mso-position-vertical-relative:page;mso-width-relative:margin;mso-height-relative:margin" filled="f" stroked="f" strokeweight=".5pt">
            <o:lock v:ext="edit" aspectratio="t" verticies="t" text="t" shapetype="t"/>
            <w10:wrap anchorx="page" anchory="page"/>
          </v:shape>
        </w:pict>
      </w:r>
      <w:r w:rsidR="000F58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24372" wp14:editId="7F9B1A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6831175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8DFD" id="DeepLBoxSPIDType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</w:p>
    <w:p w14:paraId="73EF2BE7" w14:textId="77777777" w:rsidR="00C812CE" w:rsidRDefault="00947BFA">
      <w:pPr>
        <w:pStyle w:val="Nadpis1"/>
        <w:jc w:val="both"/>
      </w:pPr>
      <w:bookmarkStart w:id="0" w:name="_Toc164159252"/>
      <w:proofErr w:type="spellStart"/>
      <w:r>
        <w:t>Changes</w:t>
      </w:r>
      <w:proofErr w:type="spellEnd"/>
      <w:r>
        <w:t xml:space="preserve"> in CS OTE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legislative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as of 1.7.2024</w:t>
      </w:r>
      <w:bookmarkEnd w:id="0"/>
    </w:p>
    <w:p w14:paraId="39742B23" w14:textId="77777777" w:rsidR="00AD180A" w:rsidRDefault="00AD180A" w:rsidP="0076010A"/>
    <w:p w14:paraId="38A7BF0C" w14:textId="77777777" w:rsidR="00C812CE" w:rsidRDefault="00947BFA">
      <w:pPr>
        <w:jc w:val="both"/>
        <w:rPr>
          <w:b/>
          <w:bCs/>
          <w:i/>
          <w:iCs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</w:t>
      </w:r>
      <w:r w:rsidR="00E75578">
        <w:t xml:space="preserve">in CS OTE </w:t>
      </w:r>
      <w:r>
        <w:t xml:space="preserve">are </w:t>
      </w:r>
      <w:proofErr w:type="spellStart"/>
      <w:r>
        <w:t>prepared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text of </w:t>
      </w:r>
      <w:proofErr w:type="spellStart"/>
      <w:r>
        <w:t>the</w:t>
      </w:r>
      <w:proofErr w:type="spellEnd"/>
      <w:r>
        <w:t xml:space="preserve"> draft </w:t>
      </w:r>
      <w:proofErr w:type="spellStart"/>
      <w:r>
        <w:t>Decree</w:t>
      </w:r>
      <w:proofErr w:type="spellEnd"/>
      <w:r>
        <w:t xml:space="preserve"> </w:t>
      </w:r>
      <w:r w:rsidR="005E6992">
        <w:t xml:space="preserve">No. </w:t>
      </w:r>
      <w:r>
        <w:t xml:space="preserve">408/2015 </w:t>
      </w:r>
      <w:proofErr w:type="spellStart"/>
      <w:r>
        <w:t>Coll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public </w:t>
      </w:r>
      <w:proofErr w:type="spellStart"/>
      <w:r>
        <w:t>consultation</w:t>
      </w:r>
      <w:proofErr w:type="spellEnd"/>
      <w:r>
        <w:t xml:space="preserve"> on 19 </w:t>
      </w:r>
      <w:proofErr w:type="spellStart"/>
      <w:r>
        <w:t>March</w:t>
      </w:r>
      <w:proofErr w:type="spellEnd"/>
      <w:r>
        <w:t xml:space="preserve"> 2024. Settlement of </w:t>
      </w:r>
      <w:proofErr w:type="spellStart"/>
      <w:r>
        <w:t>the</w:t>
      </w:r>
      <w:proofErr w:type="spellEnd"/>
      <w:r>
        <w:t xml:space="preserve"> </w:t>
      </w:r>
      <w:proofErr w:type="spellStart"/>
      <w:r w:rsidR="00E75578">
        <w:t>comments</w:t>
      </w:r>
      <w:proofErr w:type="spellEnd"/>
      <w:r w:rsidR="00E75578">
        <w:t xml:space="preserve"> </w:t>
      </w:r>
      <w:proofErr w:type="spellStart"/>
      <w:r w:rsidR="00E75578">
        <w:t>raised</w:t>
      </w:r>
      <w:proofErr w:type="spellEnd"/>
      <w:r w:rsidR="00E75578">
        <w:t xml:space="preserve"> on </w:t>
      </w:r>
      <w:proofErr w:type="spellStart"/>
      <w:r w:rsidR="00E75578">
        <w:t>the</w:t>
      </w:r>
      <w:proofErr w:type="spellEnd"/>
      <w:r w:rsidR="00E75578">
        <w:t xml:space="preserve"> draft </w:t>
      </w:r>
      <w:proofErr w:type="spellStart"/>
      <w:r w:rsidR="00E75578">
        <w:t>Decree</w:t>
      </w:r>
      <w:proofErr w:type="spellEnd"/>
      <w:r w:rsidR="00E75578">
        <w:t xml:space="preserve"> on </w:t>
      </w:r>
      <w:proofErr w:type="spellStart"/>
      <w:r w:rsidR="00E75578">
        <w:t>electricity</w:t>
      </w:r>
      <w:proofErr w:type="spellEnd"/>
      <w:r w:rsidR="00E75578">
        <w:t xml:space="preserve"> market </w:t>
      </w:r>
      <w:proofErr w:type="spellStart"/>
      <w:r w:rsidR="00E75578">
        <w:t>rules</w:t>
      </w:r>
      <w:proofErr w:type="spellEnd"/>
      <w:r w:rsidR="00E75578">
        <w:t xml:space="preserve"> </w:t>
      </w:r>
      <w:proofErr w:type="spellStart"/>
      <w:r w:rsidR="00E75578">
        <w:t>during</w:t>
      </w:r>
      <w:proofErr w:type="spellEnd"/>
      <w:r w:rsidR="00E75578">
        <w:t xml:space="preserve"> </w:t>
      </w:r>
      <w:proofErr w:type="spellStart"/>
      <w:r w:rsidR="00E75578">
        <w:t>the</w:t>
      </w:r>
      <w:proofErr w:type="spellEnd"/>
      <w:r w:rsidR="00E75578">
        <w:t xml:space="preserve"> </w:t>
      </w:r>
      <w:r>
        <w:t xml:space="preserve">public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moment</w:t>
      </w:r>
      <w:r w:rsidR="00E75578">
        <w:t xml:space="preserve">, </w:t>
      </w:r>
      <w:proofErr w:type="spellStart"/>
      <w:r w:rsidR="00E75578">
        <w:t>therefore</w:t>
      </w:r>
      <w:proofErr w:type="spellEnd"/>
      <w:r w:rsidR="00E75578">
        <w:t xml:space="preserve"> </w:t>
      </w:r>
      <w:proofErr w:type="spellStart"/>
      <w:r w:rsidR="00E75578">
        <w:t>the</w:t>
      </w:r>
      <w:proofErr w:type="spellEnd"/>
      <w:r w:rsidR="00E75578">
        <w:t xml:space="preserve"> market </w:t>
      </w:r>
      <w:proofErr w:type="spellStart"/>
      <w:r w:rsidR="00E75578">
        <w:t>operator</w:t>
      </w:r>
      <w:proofErr w:type="spellEnd"/>
      <w:r w:rsidR="00E75578">
        <w:t xml:space="preserve"> </w:t>
      </w:r>
      <w:proofErr w:type="spellStart"/>
      <w:r w:rsidR="00E75578">
        <w:t>reserves</w:t>
      </w:r>
      <w:proofErr w:type="spellEnd"/>
      <w:r w:rsidR="00E75578">
        <w:t xml:space="preserve"> </w:t>
      </w:r>
      <w:proofErr w:type="spellStart"/>
      <w:r w:rsidR="00E75578">
        <w:t>the</w:t>
      </w:r>
      <w:proofErr w:type="spellEnd"/>
      <w:r w:rsidR="00E75578">
        <w:t xml:space="preserve"> </w:t>
      </w:r>
      <w:proofErr w:type="spellStart"/>
      <w:r w:rsidR="00E75578">
        <w:t>right</w:t>
      </w:r>
      <w:proofErr w:type="spellEnd"/>
      <w:r w:rsidR="00E75578">
        <w:t xml:space="preserve"> to </w:t>
      </w:r>
      <w:proofErr w:type="spellStart"/>
      <w:r w:rsidR="00E75578">
        <w:t>change</w:t>
      </w:r>
      <w:proofErr w:type="spellEnd"/>
      <w:r w:rsidR="00E75578">
        <w:t xml:space="preserve"> </w:t>
      </w:r>
      <w:proofErr w:type="spellStart"/>
      <w:r w:rsidR="00E75578">
        <w:t>the</w:t>
      </w:r>
      <w:proofErr w:type="spellEnd"/>
      <w:r w:rsidR="00E75578">
        <w:t xml:space="preserve"> </w:t>
      </w:r>
      <w:proofErr w:type="spellStart"/>
      <w:r w:rsidR="00E75578">
        <w:t>modifications</w:t>
      </w:r>
      <w:proofErr w:type="spellEnd"/>
      <w:r w:rsidR="00E75578">
        <w:t xml:space="preserve"> </w:t>
      </w:r>
      <w:proofErr w:type="spellStart"/>
      <w:r w:rsidR="00E75578">
        <w:t>described</w:t>
      </w:r>
      <w:proofErr w:type="spellEnd"/>
      <w:r w:rsidR="00E75578">
        <w:t xml:space="preserve"> </w:t>
      </w:r>
      <w:proofErr w:type="spellStart"/>
      <w:r w:rsidR="00E75578">
        <w:t>below</w:t>
      </w:r>
      <w:proofErr w:type="spellEnd"/>
      <w:r w:rsidR="00E75578">
        <w:t xml:space="preserve"> </w:t>
      </w:r>
      <w:proofErr w:type="spellStart"/>
      <w:r w:rsidR="00E75578">
        <w:t>if</w:t>
      </w:r>
      <w:proofErr w:type="spellEnd"/>
      <w:r w:rsidR="00E75578">
        <w:t xml:space="preserve"> </w:t>
      </w:r>
      <w:proofErr w:type="spellStart"/>
      <w:r w:rsidR="00E75578">
        <w:t>the</w:t>
      </w:r>
      <w:proofErr w:type="spellEnd"/>
      <w:r w:rsidR="00E75578">
        <w:t xml:space="preserve"> </w:t>
      </w:r>
      <w:proofErr w:type="spellStart"/>
      <w:r w:rsidR="00E75578">
        <w:t>situation</w:t>
      </w:r>
      <w:proofErr w:type="spellEnd"/>
      <w:r w:rsidR="00E75578">
        <w:t xml:space="preserve"> </w:t>
      </w:r>
      <w:proofErr w:type="spellStart"/>
      <w:r>
        <w:t>requires</w:t>
      </w:r>
      <w:proofErr w:type="spellEnd"/>
      <w:r w:rsidR="00E75578">
        <w:t xml:space="preserve"> </w:t>
      </w:r>
      <w:proofErr w:type="spellStart"/>
      <w:r w:rsidR="00E75578">
        <w:t>it</w:t>
      </w:r>
      <w:proofErr w:type="spellEnd"/>
      <w:r w:rsidR="00E75578">
        <w:t xml:space="preserve"> </w:t>
      </w:r>
      <w:proofErr w:type="spellStart"/>
      <w:r w:rsidR="00E75578">
        <w:t>based</w:t>
      </w:r>
      <w:proofErr w:type="spellEnd"/>
      <w:r w:rsidR="00E75578">
        <w:t xml:space="preserve"> on </w:t>
      </w:r>
      <w:proofErr w:type="spellStart"/>
      <w:r w:rsidR="00E75578">
        <w:t>the</w:t>
      </w:r>
      <w:proofErr w:type="spellEnd"/>
      <w:r w:rsidR="00E75578">
        <w:t xml:space="preserve"> </w:t>
      </w:r>
      <w:proofErr w:type="spellStart"/>
      <w:r w:rsidR="00E75578">
        <w:t>possible</w:t>
      </w:r>
      <w:proofErr w:type="spellEnd"/>
      <w:r w:rsidR="00E75578">
        <w:t xml:space="preserve"> </w:t>
      </w:r>
      <w:proofErr w:type="spellStart"/>
      <w:r w:rsidR="00E75578">
        <w:t>acceptance</w:t>
      </w:r>
      <w:proofErr w:type="spellEnd"/>
      <w:r w:rsidR="00E75578">
        <w:t xml:space="preserve"> of </w:t>
      </w:r>
      <w:proofErr w:type="spellStart"/>
      <w:r w:rsidR="00E75578">
        <w:t>the</w:t>
      </w:r>
      <w:proofErr w:type="spellEnd"/>
      <w:r w:rsidR="00E75578">
        <w:t xml:space="preserve"> </w:t>
      </w:r>
      <w:proofErr w:type="spellStart"/>
      <w:r w:rsidR="00E75578">
        <w:t>comments</w:t>
      </w:r>
      <w:proofErr w:type="spellEnd"/>
      <w:r w:rsidR="00E75578">
        <w:t xml:space="preserve"> of market </w:t>
      </w:r>
      <w:proofErr w:type="spellStart"/>
      <w:r w:rsidR="00E75578">
        <w:t>participants</w:t>
      </w:r>
      <w:proofErr w:type="spellEnd"/>
      <w:r w:rsidR="00E75578">
        <w:t xml:space="preserve"> on </w:t>
      </w:r>
      <w:proofErr w:type="spellStart"/>
      <w:r w:rsidR="00E75578">
        <w:t>the</w:t>
      </w:r>
      <w:proofErr w:type="spellEnd"/>
      <w:r w:rsidR="00E75578">
        <w:t xml:space="preserve"> draft </w:t>
      </w:r>
      <w:proofErr w:type="spellStart"/>
      <w:r w:rsidR="00E75578">
        <w:t>amendment</w:t>
      </w:r>
      <w:proofErr w:type="spellEnd"/>
      <w:r w:rsidR="00E75578">
        <w:t xml:space="preserve"> to </w:t>
      </w:r>
      <w:proofErr w:type="spellStart"/>
      <w:r w:rsidR="00E75578">
        <w:t>the</w:t>
      </w:r>
      <w:proofErr w:type="spellEnd"/>
      <w:r w:rsidR="00E75578">
        <w:t xml:space="preserve"> </w:t>
      </w:r>
      <w:proofErr w:type="spellStart"/>
      <w:r w:rsidR="00E75578">
        <w:t>above</w:t>
      </w:r>
      <w:proofErr w:type="spellEnd"/>
      <w:r w:rsidR="00E75578">
        <w:t xml:space="preserve"> </w:t>
      </w:r>
      <w:proofErr w:type="spellStart"/>
      <w:r w:rsidR="00E75578">
        <w:t>mentioned</w:t>
      </w:r>
      <w:proofErr w:type="spellEnd"/>
      <w:r w:rsidR="00E75578">
        <w:t xml:space="preserve"> </w:t>
      </w:r>
      <w:proofErr w:type="spellStart"/>
      <w:r w:rsidR="00E75578">
        <w:t>Decree</w:t>
      </w:r>
      <w:proofErr w:type="spellEnd"/>
      <w:r w:rsidR="00E75578">
        <w:t xml:space="preserve"> by </w:t>
      </w:r>
      <w:proofErr w:type="spellStart"/>
      <w:r w:rsidR="00E75578">
        <w:t>the</w:t>
      </w:r>
      <w:proofErr w:type="spellEnd"/>
      <w:r w:rsidR="00E75578">
        <w:t xml:space="preserve"> Energy </w:t>
      </w:r>
      <w:proofErr w:type="spellStart"/>
      <w:r w:rsidR="00E75578">
        <w:t>Regulatory</w:t>
      </w:r>
      <w:proofErr w:type="spellEnd"/>
      <w:r w:rsidR="00E75578">
        <w:t xml:space="preserve"> Office </w:t>
      </w:r>
    </w:p>
    <w:p w14:paraId="16590754" w14:textId="77777777" w:rsidR="00C812CE" w:rsidRDefault="00947BFA">
      <w:pPr>
        <w:jc w:val="both"/>
        <w:rPr>
          <w:i/>
          <w:iCs/>
        </w:rPr>
      </w:pP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modifications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described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below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will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implemented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production</w:t>
      </w:r>
      <w:proofErr w:type="spellEnd"/>
      <w:r>
        <w:rPr>
          <w:i/>
          <w:iCs/>
        </w:rPr>
        <w:t xml:space="preserve"> environment </w:t>
      </w:r>
      <w:proofErr w:type="spellStart"/>
      <w:r>
        <w:rPr>
          <w:i/>
          <w:iCs/>
        </w:rPr>
        <w:t>with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effect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from</w:t>
      </w:r>
      <w:proofErr w:type="spellEnd"/>
      <w:r>
        <w:rPr>
          <w:i/>
          <w:iCs/>
        </w:rPr>
        <w:t xml:space="preserve"> 1 July 2024.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 w:rsidR="00AD180A" w:rsidRPr="0026336A">
        <w:rPr>
          <w:i/>
          <w:iCs/>
        </w:rPr>
        <w:t>modifications</w:t>
      </w:r>
      <w:proofErr w:type="spellEnd"/>
      <w:r w:rsidR="00AD180A" w:rsidRPr="0026336A">
        <w:rPr>
          <w:i/>
          <w:iCs/>
        </w:rPr>
        <w:t xml:space="preserve"> are </w:t>
      </w:r>
      <w:proofErr w:type="spellStart"/>
      <w:r>
        <w:rPr>
          <w:i/>
          <w:iCs/>
        </w:rPr>
        <w:t>expected</w:t>
      </w:r>
      <w:proofErr w:type="spellEnd"/>
      <w:r>
        <w:rPr>
          <w:i/>
          <w:iCs/>
        </w:rPr>
        <w:t xml:space="preserve"> </w:t>
      </w:r>
      <w:r w:rsidR="00AD180A" w:rsidRPr="0026336A">
        <w:rPr>
          <w:i/>
          <w:iCs/>
        </w:rPr>
        <w:t xml:space="preserve">to </w:t>
      </w:r>
      <w:proofErr w:type="spellStart"/>
      <w:r w:rsidR="00AD180A" w:rsidRPr="0026336A">
        <w:rPr>
          <w:i/>
          <w:iCs/>
        </w:rPr>
        <w:t>be</w:t>
      </w:r>
      <w:proofErr w:type="spellEnd"/>
      <w:r w:rsidR="00AD180A" w:rsidRPr="0026336A">
        <w:rPr>
          <w:i/>
          <w:iCs/>
        </w:rPr>
        <w:t xml:space="preserve"> </w:t>
      </w:r>
      <w:proofErr w:type="spellStart"/>
      <w:r w:rsidR="00AD180A" w:rsidRPr="0026336A">
        <w:rPr>
          <w:i/>
          <w:iCs/>
        </w:rPr>
        <w:t>deployed</w:t>
      </w:r>
      <w:proofErr w:type="spellEnd"/>
      <w:r w:rsidR="00AD180A" w:rsidRPr="0026336A">
        <w:rPr>
          <w:i/>
          <w:iCs/>
        </w:rPr>
        <w:t xml:space="preserve">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OTE SANDBOX15min test environment (</w:t>
      </w:r>
      <w:proofErr w:type="spellStart"/>
      <w:r w:rsidRPr="0026336A">
        <w:rPr>
          <w:i/>
          <w:iCs/>
        </w:rPr>
        <w:t>with</w:t>
      </w:r>
      <w:proofErr w:type="spellEnd"/>
      <w:r w:rsidRPr="0026336A">
        <w:rPr>
          <w:i/>
          <w:iCs/>
        </w:rPr>
        <w:t xml:space="preserve"> a </w:t>
      </w:r>
      <w:proofErr w:type="gramStart"/>
      <w:r w:rsidRPr="0026336A">
        <w:rPr>
          <w:i/>
          <w:iCs/>
        </w:rPr>
        <w:t>15-minute</w:t>
      </w:r>
      <w:proofErr w:type="gramEnd"/>
      <w:r w:rsidRPr="0026336A">
        <w:rPr>
          <w:i/>
          <w:iCs/>
        </w:rPr>
        <w:t xml:space="preserve"> settlement period</w:t>
      </w:r>
      <w:r>
        <w:rPr>
          <w:i/>
          <w:iCs/>
        </w:rPr>
        <w:t xml:space="preserve">) in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second </w:t>
      </w:r>
      <w:proofErr w:type="spellStart"/>
      <w:r>
        <w:rPr>
          <w:b/>
          <w:bCs/>
          <w:i/>
          <w:iCs/>
        </w:rPr>
        <w:t>half</w:t>
      </w:r>
      <w:proofErr w:type="spellEnd"/>
      <w:r>
        <w:rPr>
          <w:b/>
          <w:bCs/>
          <w:i/>
          <w:iCs/>
        </w:rPr>
        <w:t xml:space="preserve"> of </w:t>
      </w:r>
      <w:r w:rsidR="00AD180A" w:rsidRPr="0072348C">
        <w:rPr>
          <w:b/>
          <w:bCs/>
          <w:i/>
          <w:iCs/>
        </w:rPr>
        <w:t>May 2024.</w:t>
      </w:r>
    </w:p>
    <w:p w14:paraId="707ADE6E" w14:textId="77777777" w:rsidR="00AD180A" w:rsidRDefault="00AD180A" w:rsidP="0076010A"/>
    <w:p w14:paraId="34B415A7" w14:textId="77777777" w:rsidR="00C812CE" w:rsidRDefault="00947BFA">
      <w:pPr>
        <w:pStyle w:val="Nadpisobsahu"/>
      </w:pPr>
      <w:r>
        <w:t xml:space="preserve">Table of </w:t>
      </w:r>
      <w:proofErr w:type="spellStart"/>
      <w:r>
        <w:t>Contents</w:t>
      </w:r>
      <w:proofErr w:type="spellEnd"/>
    </w:p>
    <w:p w14:paraId="7BAF6C86" w14:textId="77777777" w:rsidR="00C812CE" w:rsidRDefault="00947BFA">
      <w:pPr>
        <w:pStyle w:val="Obsah1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4159252" w:history="1">
        <w:r w:rsidR="00A21116" w:rsidRPr="00CF5F5F">
          <w:rPr>
            <w:rStyle w:val="Hypertextovodkaz"/>
            <w:noProof/>
          </w:rPr>
          <w:t>Changes in CS OTE in connection with the proposed legislative changes as of 1.7.2024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_Toc164159252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1</w:t>
        </w:r>
        <w:r w:rsidR="00A21116">
          <w:rPr>
            <w:noProof/>
            <w:webHidden/>
          </w:rPr>
          <w:fldChar w:fldCharType="end"/>
        </w:r>
      </w:hyperlink>
    </w:p>
    <w:p w14:paraId="13E34E1D" w14:textId="77777777" w:rsidR="00C812CE" w:rsidRDefault="00D803AF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53" w:history="1">
        <w:r w:rsidR="00A21116" w:rsidRPr="00CF5F5F">
          <w:rPr>
            <w:rStyle w:val="Hypertextovodkaz"/>
            <w:b/>
            <w:bCs/>
            <w:noProof/>
          </w:rPr>
          <w:t>1.</w:t>
        </w:r>
        <w:r w:rsidR="00A21116">
          <w:rPr>
            <w:rFonts w:eastAsiaTheme="minorEastAsia"/>
            <w:noProof/>
            <w:kern w:val="0"/>
            <w:lang w:eastAsia="cs-CZ"/>
          </w:rPr>
          <w:tab/>
        </w:r>
        <w:r w:rsidR="00A21116" w:rsidRPr="00CF5F5F">
          <w:rPr>
            <w:rStyle w:val="Hypertextovodkaz"/>
            <w:b/>
            <w:bCs/>
            <w:noProof/>
          </w:rPr>
          <w:t>Possibility to send an estimate of annual consumption to all consumption points at the LV level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_Toc164159253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2</w:t>
        </w:r>
        <w:r w:rsidR="00A21116">
          <w:rPr>
            <w:noProof/>
            <w:webHidden/>
          </w:rPr>
          <w:fldChar w:fldCharType="end"/>
        </w:r>
      </w:hyperlink>
    </w:p>
    <w:p w14:paraId="123864B6" w14:textId="77777777" w:rsidR="00C812CE" w:rsidRDefault="00D803AF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54" w:history="1">
        <w:r w:rsidR="00A21116" w:rsidRPr="00CF5F5F">
          <w:rPr>
            <w:rStyle w:val="Hypertextovodkaz"/>
            <w:b/>
            <w:bCs/>
            <w:noProof/>
          </w:rPr>
          <w:t>2.</w:t>
        </w:r>
        <w:r w:rsidR="00A21116">
          <w:rPr>
            <w:rFonts w:eastAsiaTheme="minorEastAsia"/>
            <w:noProof/>
            <w:kern w:val="0"/>
            <w:lang w:eastAsia="cs-CZ"/>
          </w:rPr>
          <w:tab/>
        </w:r>
        <w:r w:rsidR="00A21116" w:rsidRPr="00CF5F5F">
          <w:rPr>
            <w:rStyle w:val="Hypertextovodkaz"/>
            <w:b/>
            <w:bCs/>
            <w:noProof/>
          </w:rPr>
          <w:t>Vulnerable customer (Decree No 408/2015 Coll.)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_Toc164159254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2</w:t>
        </w:r>
        <w:r w:rsidR="00A21116">
          <w:rPr>
            <w:noProof/>
            <w:webHidden/>
          </w:rPr>
          <w:fldChar w:fldCharType="end"/>
        </w:r>
      </w:hyperlink>
    </w:p>
    <w:p w14:paraId="187C5A1C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55" w:history="1">
        <w:r w:rsidR="00A21116" w:rsidRPr="00CF5F5F">
          <w:rPr>
            <w:rStyle w:val="Hypertextovodkaz"/>
            <w:b/>
            <w:bCs/>
            <w:noProof/>
          </w:rPr>
          <w:t>Vulnerable customer flag registration on master data in CS OTE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_Toc164159255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2</w:t>
        </w:r>
        <w:r w:rsidR="00A21116">
          <w:rPr>
            <w:noProof/>
            <w:webHidden/>
          </w:rPr>
          <w:fldChar w:fldCharType="end"/>
        </w:r>
      </w:hyperlink>
    </w:p>
    <w:p w14:paraId="75999C4A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56" w:history="1">
        <w:r w:rsidR="00A21116" w:rsidRPr="00CF5F5F">
          <w:rPr>
            <w:rStyle w:val="Hypertextovodkaz"/>
            <w:b/>
            <w:bCs/>
            <w:noProof/>
          </w:rPr>
          <w:t>Procedure for securing delivery to a vulnerable customer-DPI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_Toc164159256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2</w:t>
        </w:r>
        <w:r w:rsidR="00A21116">
          <w:rPr>
            <w:noProof/>
            <w:webHidden/>
          </w:rPr>
          <w:fldChar w:fldCharType="end"/>
        </w:r>
      </w:hyperlink>
    </w:p>
    <w:p w14:paraId="210DC4F6" w14:textId="77777777" w:rsidR="00C812CE" w:rsidRDefault="00D803AF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57" w:history="1">
        <w:r w:rsidR="00A21116" w:rsidRPr="00CF5F5F">
          <w:rPr>
            <w:rStyle w:val="Hypertextovodkaz"/>
            <w:b/>
            <w:bCs/>
            <w:noProof/>
          </w:rPr>
          <w:t>3.</w:t>
        </w:r>
        <w:r w:rsidR="00A21116">
          <w:rPr>
            <w:rFonts w:eastAsiaTheme="minorEastAsia"/>
            <w:noProof/>
            <w:kern w:val="0"/>
            <w:lang w:eastAsia="cs-CZ"/>
          </w:rPr>
          <w:tab/>
        </w:r>
        <w:r w:rsidR="00A21116" w:rsidRPr="00CF5F5F">
          <w:rPr>
            <w:rStyle w:val="Hypertextovodkaz"/>
            <w:b/>
            <w:bCs/>
            <w:noProof/>
          </w:rPr>
          <w:t>Measurement category (Decree No. 359/2020 Coll.)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_Toc164159257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2</w:t>
        </w:r>
        <w:r w:rsidR="00A21116">
          <w:rPr>
            <w:noProof/>
            <w:webHidden/>
          </w:rPr>
          <w:fldChar w:fldCharType="end"/>
        </w:r>
      </w:hyperlink>
    </w:p>
    <w:p w14:paraId="2849D16F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58" w:history="1">
        <w:r w:rsidR="00A21116" w:rsidRPr="00CF5F5F">
          <w:rPr>
            <w:rStyle w:val="Hypertextovodkaz"/>
            <w:b/>
            <w:bCs/>
            <w:noProof/>
          </w:rPr>
          <w:t>Types of measurement categories C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_Toc164159258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3</w:t>
        </w:r>
        <w:r w:rsidR="00A21116">
          <w:rPr>
            <w:noProof/>
            <w:webHidden/>
          </w:rPr>
          <w:fldChar w:fldCharType="end"/>
        </w:r>
      </w:hyperlink>
    </w:p>
    <w:p w14:paraId="32F44E6A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59" w:history="1">
        <w:r w:rsidR="00A21116" w:rsidRPr="00CF5F5F">
          <w:rPr>
            <w:rStyle w:val="Hypertextovodkaz"/>
            <w:b/>
            <w:bCs/>
            <w:noProof/>
          </w:rPr>
          <w:t>Initial setting of C4 metering category in CS OTE as of 1.7.2024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_Toc164159259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3</w:t>
        </w:r>
        <w:r w:rsidR="00A21116">
          <w:rPr>
            <w:noProof/>
            <w:webHidden/>
          </w:rPr>
          <w:fldChar w:fldCharType="end"/>
        </w:r>
      </w:hyperlink>
    </w:p>
    <w:p w14:paraId="61711019" w14:textId="77777777" w:rsidR="00C812CE" w:rsidRDefault="00D803AF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60" w:history="1">
        <w:r w:rsidR="00A21116" w:rsidRPr="00CF5F5F">
          <w:rPr>
            <w:rStyle w:val="Hypertextovodkaz"/>
            <w:b/>
            <w:bCs/>
            <w:noProof/>
          </w:rPr>
          <w:t>4.</w:t>
        </w:r>
        <w:r w:rsidR="00A21116">
          <w:rPr>
            <w:rFonts w:eastAsiaTheme="minorEastAsia"/>
            <w:noProof/>
            <w:kern w:val="0"/>
            <w:lang w:eastAsia="cs-CZ"/>
          </w:rPr>
          <w:tab/>
        </w:r>
        <w:r w:rsidR="00A21116" w:rsidRPr="00CF5F5F">
          <w:rPr>
            <w:rStyle w:val="Hypertextovodkaz"/>
            <w:b/>
            <w:bCs/>
            <w:noProof/>
          </w:rPr>
          <w:t>Attribute indicating that the transfer point is part of the aggregation block for the provision of SVR (Decree No 408/2015 Coll. and conditions for EAN entry into the sharing group)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_Toc164159260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3</w:t>
        </w:r>
        <w:r w:rsidR="00A21116">
          <w:rPr>
            <w:noProof/>
            <w:webHidden/>
          </w:rPr>
          <w:fldChar w:fldCharType="end"/>
        </w:r>
      </w:hyperlink>
    </w:p>
    <w:p w14:paraId="498375E2" w14:textId="77777777" w:rsidR="00C812CE" w:rsidRDefault="00D803AF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61" w:history="1">
        <w:r w:rsidR="00A21116" w:rsidRPr="00CF5F5F">
          <w:rPr>
            <w:rStyle w:val="Hypertextovodkaz"/>
            <w:b/>
            <w:bCs/>
            <w:noProof/>
          </w:rPr>
          <w:t>5.</w:t>
        </w:r>
        <w:r w:rsidR="00A21116">
          <w:rPr>
            <w:rFonts w:eastAsiaTheme="minorEastAsia"/>
            <w:noProof/>
            <w:kern w:val="0"/>
            <w:lang w:eastAsia="cs-CZ"/>
          </w:rPr>
          <w:tab/>
        </w:r>
        <w:r w:rsidR="00A21116" w:rsidRPr="00CF5F5F">
          <w:rPr>
            <w:rStyle w:val="Hypertextovodkaz"/>
            <w:b/>
            <w:bCs/>
            <w:noProof/>
          </w:rPr>
          <w:t>Adjustment of the structure of the documents for distribution invoicing according to Annex 20 of Decree No. 408/2015 Coll.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_Toc164159261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4</w:t>
        </w:r>
        <w:r w:rsidR="00A21116">
          <w:rPr>
            <w:noProof/>
            <w:webHidden/>
          </w:rPr>
          <w:fldChar w:fldCharType="end"/>
        </w:r>
      </w:hyperlink>
    </w:p>
    <w:p w14:paraId="534E4108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62" w:history="1">
        <w:r w:rsidR="00A21116" w:rsidRPr="00CF5F5F">
          <w:rPr>
            <w:rStyle w:val="Hypertextovodkaz"/>
            <w:b/>
            <w:bCs/>
            <w:noProof/>
          </w:rPr>
          <w:t>DUFVO (points of consumption outside the LV level)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_Toc164159262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4</w:t>
        </w:r>
        <w:r w:rsidR="00A21116">
          <w:rPr>
            <w:noProof/>
            <w:webHidden/>
          </w:rPr>
          <w:fldChar w:fldCharType="end"/>
        </w:r>
      </w:hyperlink>
    </w:p>
    <w:p w14:paraId="7C21B941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63" w:history="1">
        <w:r w:rsidR="00A21116" w:rsidRPr="00CF5F5F">
          <w:rPr>
            <w:rStyle w:val="Hypertextovodkaz"/>
            <w:b/>
            <w:bCs/>
            <w:noProof/>
          </w:rPr>
          <w:t>DUFMO (points of consumption at LV level)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_Toc164159263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4</w:t>
        </w:r>
        <w:r w:rsidR="00A21116">
          <w:rPr>
            <w:noProof/>
            <w:webHidden/>
          </w:rPr>
          <w:fldChar w:fldCharType="end"/>
        </w:r>
      </w:hyperlink>
    </w:p>
    <w:p w14:paraId="34CCDB4A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64" w:history="1">
        <w:r w:rsidR="00A21116" w:rsidRPr="00CF5F5F">
          <w:rPr>
            <w:rStyle w:val="Hypertextovodkaz"/>
            <w:b/>
            <w:bCs/>
            <w:noProof/>
          </w:rPr>
          <w:t>Modification of the electronic aggregated invoice in accordance with the DUFVO and DUFMO modifications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_Toc164159264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5</w:t>
        </w:r>
        <w:r w:rsidR="00A21116">
          <w:rPr>
            <w:noProof/>
            <w:webHidden/>
          </w:rPr>
          <w:fldChar w:fldCharType="end"/>
        </w:r>
      </w:hyperlink>
    </w:p>
    <w:p w14:paraId="32057648" w14:textId="77777777" w:rsidR="00C812CE" w:rsidRDefault="00D803AF">
      <w:pPr>
        <w:pStyle w:val="Obsah3"/>
        <w:tabs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65" w:history="1">
        <w:r w:rsidR="00A21116" w:rsidRPr="00CF5F5F">
          <w:rPr>
            <w:rStyle w:val="Hypertextovodkaz"/>
            <w:b/>
            <w:bCs/>
            <w:noProof/>
          </w:rPr>
          <w:t>Adjustment of controls for DUF intake in OTE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_Toc164159265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5</w:t>
        </w:r>
        <w:r w:rsidR="00A21116">
          <w:rPr>
            <w:noProof/>
            <w:webHidden/>
          </w:rPr>
          <w:fldChar w:fldCharType="end"/>
        </w:r>
      </w:hyperlink>
    </w:p>
    <w:p w14:paraId="16977E2D" w14:textId="77777777" w:rsidR="00C812CE" w:rsidRDefault="00D803AF">
      <w:pPr>
        <w:pStyle w:val="Obsah2"/>
        <w:tabs>
          <w:tab w:val="left" w:pos="660"/>
          <w:tab w:val="right" w:leader="dot" w:pos="9062"/>
        </w:tabs>
        <w:rPr>
          <w:rFonts w:eastAsiaTheme="minorEastAsia"/>
          <w:noProof/>
          <w:kern w:val="0"/>
          <w:lang w:eastAsia="cs-CZ"/>
        </w:rPr>
      </w:pPr>
      <w:hyperlink w:anchor="_Toc164159266" w:history="1">
        <w:r w:rsidR="00A21116" w:rsidRPr="00CF5F5F">
          <w:rPr>
            <w:rStyle w:val="Hypertextovodkaz"/>
            <w:b/>
            <w:bCs/>
            <w:noProof/>
          </w:rPr>
          <w:t>6.</w:t>
        </w:r>
        <w:r w:rsidR="00A21116">
          <w:rPr>
            <w:rFonts w:eastAsiaTheme="minorEastAsia"/>
            <w:noProof/>
            <w:kern w:val="0"/>
            <w:lang w:eastAsia="cs-CZ"/>
          </w:rPr>
          <w:tab/>
        </w:r>
        <w:r w:rsidR="00A21116" w:rsidRPr="00CF5F5F">
          <w:rPr>
            <w:rStyle w:val="Hypertextovodkaz"/>
            <w:b/>
            <w:bCs/>
            <w:noProof/>
          </w:rPr>
          <w:t>Modification of the statement according to Annexes 11 to 16 of the PTE</w:t>
        </w:r>
        <w:r w:rsidR="00A21116">
          <w:rPr>
            <w:noProof/>
            <w:webHidden/>
          </w:rPr>
          <w:tab/>
        </w:r>
        <w:r w:rsidR="00A21116">
          <w:rPr>
            <w:noProof/>
            <w:webHidden/>
          </w:rPr>
          <w:fldChar w:fldCharType="begin"/>
        </w:r>
        <w:r w:rsidR="00A21116">
          <w:rPr>
            <w:noProof/>
            <w:webHidden/>
          </w:rPr>
          <w:instrText xml:space="preserve"> PAGEREF _Toc164159266 \h </w:instrText>
        </w:r>
        <w:r w:rsidR="00A21116">
          <w:rPr>
            <w:noProof/>
            <w:webHidden/>
          </w:rPr>
        </w:r>
        <w:r w:rsidR="00A21116">
          <w:rPr>
            <w:noProof/>
            <w:webHidden/>
          </w:rPr>
          <w:fldChar w:fldCharType="separate"/>
        </w:r>
        <w:r w:rsidR="00A21116">
          <w:rPr>
            <w:noProof/>
            <w:webHidden/>
          </w:rPr>
          <w:t>5</w:t>
        </w:r>
        <w:r w:rsidR="00A21116">
          <w:rPr>
            <w:noProof/>
            <w:webHidden/>
          </w:rPr>
          <w:fldChar w:fldCharType="end"/>
        </w:r>
      </w:hyperlink>
    </w:p>
    <w:p w14:paraId="4CD04BE7" w14:textId="77777777" w:rsidR="0076010A" w:rsidRDefault="00947BFA">
      <w:r>
        <w:fldChar w:fldCharType="end"/>
      </w:r>
    </w:p>
    <w:p w14:paraId="6DFCC8AA" w14:textId="77777777" w:rsidR="0076010A" w:rsidRDefault="0076010A">
      <w:r>
        <w:br w:type="page"/>
      </w:r>
    </w:p>
    <w:p w14:paraId="15AB033E" w14:textId="77777777" w:rsidR="00C812CE" w:rsidRDefault="00947BFA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1" w:name="_Toc164159253"/>
      <w:proofErr w:type="spellStart"/>
      <w:r w:rsidRPr="00B00664">
        <w:rPr>
          <w:b/>
          <w:bCs/>
          <w:u w:val="single"/>
        </w:rPr>
        <w:lastRenderedPageBreak/>
        <w:t>Possibility</w:t>
      </w:r>
      <w:proofErr w:type="spellEnd"/>
      <w:r w:rsidRPr="00B00664">
        <w:rPr>
          <w:b/>
          <w:bCs/>
          <w:u w:val="single"/>
        </w:rPr>
        <w:t xml:space="preserve"> to </w:t>
      </w:r>
      <w:proofErr w:type="spellStart"/>
      <w:r w:rsidRPr="00B00664">
        <w:rPr>
          <w:b/>
          <w:bCs/>
          <w:u w:val="single"/>
        </w:rPr>
        <w:t>send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an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estimate</w:t>
      </w:r>
      <w:proofErr w:type="spellEnd"/>
      <w:r w:rsidRPr="00B00664">
        <w:rPr>
          <w:b/>
          <w:bCs/>
          <w:u w:val="single"/>
        </w:rPr>
        <w:t xml:space="preserve"> of </w:t>
      </w:r>
      <w:proofErr w:type="spellStart"/>
      <w:r w:rsidRPr="00B00664">
        <w:rPr>
          <w:b/>
          <w:bCs/>
          <w:u w:val="single"/>
        </w:rPr>
        <w:t>annual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consumption</w:t>
      </w:r>
      <w:proofErr w:type="spellEnd"/>
      <w:r w:rsidRPr="00B00664">
        <w:rPr>
          <w:b/>
          <w:bCs/>
          <w:u w:val="single"/>
        </w:rPr>
        <w:t xml:space="preserve"> to </w:t>
      </w:r>
      <w:proofErr w:type="spellStart"/>
      <w:r w:rsidRPr="00B00664">
        <w:rPr>
          <w:b/>
          <w:bCs/>
          <w:u w:val="single"/>
        </w:rPr>
        <w:t>all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consumption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points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at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LV level</w:t>
      </w:r>
      <w:bookmarkEnd w:id="1"/>
    </w:p>
    <w:p w14:paraId="5CA82123" w14:textId="77777777" w:rsidR="00C812CE" w:rsidRDefault="00947BFA">
      <w:pPr>
        <w:jc w:val="both"/>
      </w:pPr>
      <w:r>
        <w:t xml:space="preserve">As part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CS OTE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 w:rsidR="00AB27DD">
        <w:t>system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estimate</w:t>
      </w:r>
      <w:proofErr w:type="spellEnd"/>
      <w:r>
        <w:t xml:space="preserve"> of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(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) to </w:t>
      </w:r>
      <w:proofErr w:type="spellStart"/>
      <w:r>
        <w:t>all</w:t>
      </w:r>
      <w:proofErr w:type="spellEnd"/>
      <w:r>
        <w:t xml:space="preserve"> </w:t>
      </w:r>
      <w:proofErr w:type="spellStart"/>
      <w:r w:rsidRPr="00B00664">
        <w:rPr>
          <w:b/>
          <w:bCs/>
          <w:u w:val="single"/>
        </w:rPr>
        <w:t>consumption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points</w:t>
      </w:r>
      <w:proofErr w:type="spellEnd"/>
      <w:r w:rsidRPr="00B00664">
        <w:rPr>
          <w:b/>
          <w:bCs/>
          <w:u w:val="single"/>
        </w:rPr>
        <w:t xml:space="preserve"> </w:t>
      </w:r>
      <w:r>
        <w:t>(</w:t>
      </w:r>
      <w:r w:rsidR="00270B2F">
        <w:t xml:space="preserve">type of </w:t>
      </w:r>
      <w:proofErr w:type="spellStart"/>
      <w:r w:rsidR="00270B2F">
        <w:t>consumption</w:t>
      </w:r>
      <w:proofErr w:type="spellEnd"/>
      <w:r w:rsidR="00270B2F">
        <w:t xml:space="preserve"> point "0002" - </w:t>
      </w:r>
      <w:proofErr w:type="spellStart"/>
      <w:r w:rsidR="00270B2F">
        <w:t>electricity</w:t>
      </w:r>
      <w:proofErr w:type="spellEnd"/>
      <w:r w:rsidR="00270B2F">
        <w:t xml:space="preserve"> </w:t>
      </w:r>
      <w:proofErr w:type="spellStart"/>
      <w:r w:rsidR="00270B2F">
        <w:t>consumption</w:t>
      </w:r>
      <w:proofErr w:type="spellEnd"/>
      <w:r>
        <w:t xml:space="preserve">) </w:t>
      </w:r>
      <w:proofErr w:type="spellStart"/>
      <w:r w:rsidRPr="00B00664">
        <w:rPr>
          <w:b/>
          <w:bCs/>
          <w:u w:val="single"/>
        </w:rPr>
        <w:t>registered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at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low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voltage</w:t>
      </w:r>
      <w:proofErr w:type="spellEnd"/>
      <w:r w:rsidRPr="00B00664">
        <w:rPr>
          <w:b/>
          <w:bCs/>
          <w:u w:val="single"/>
        </w:rPr>
        <w:t xml:space="preserve"> level </w:t>
      </w:r>
      <w:r>
        <w:t>(</w:t>
      </w:r>
      <w:proofErr w:type="spellStart"/>
      <w:r w:rsidR="00B00664">
        <w:t>this</w:t>
      </w:r>
      <w:proofErr w:type="spellEnd"/>
      <w:r w:rsidR="00B00664">
        <w:t xml:space="preserve"> </w:t>
      </w:r>
      <w:proofErr w:type="spellStart"/>
      <w:r w:rsidR="00B00664">
        <w:t>is</w:t>
      </w:r>
      <w:proofErr w:type="spellEnd"/>
      <w:r w:rsidR="00B00664">
        <w:t xml:space="preserve"> a </w:t>
      </w:r>
      <w:proofErr w:type="spellStart"/>
      <w:r w:rsidR="00B00664">
        <w:t>change</w:t>
      </w:r>
      <w:proofErr w:type="spellEnd"/>
      <w:r w:rsidR="00B00664"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B00664">
        <w:t>current</w:t>
      </w:r>
      <w:proofErr w:type="spellEnd"/>
      <w:r w:rsidR="00B00664">
        <w:t xml:space="preserve"> </w:t>
      </w:r>
      <w:proofErr w:type="spellStart"/>
      <w:r w:rsidR="00B00664">
        <w:t>situation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type C </w:t>
      </w:r>
      <w:proofErr w:type="spellStart"/>
      <w:r>
        <w:t>metering</w:t>
      </w:r>
      <w:proofErr w:type="spellEnd"/>
      <w:r>
        <w:t xml:space="preserve">). In case </w:t>
      </w:r>
      <w:proofErr w:type="spellStart"/>
      <w:r>
        <w:t>the</w:t>
      </w:r>
      <w:proofErr w:type="spellEnd"/>
      <w:r>
        <w:t xml:space="preserve"> point of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flag (</w:t>
      </w:r>
      <w:proofErr w:type="spellStart"/>
      <w:r>
        <w:t>see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),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estimate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>.</w:t>
      </w:r>
    </w:p>
    <w:p w14:paraId="390C1DB9" w14:textId="77777777" w:rsidR="0063322B" w:rsidRPr="0095269A" w:rsidRDefault="0063322B" w:rsidP="00E75578">
      <w:pPr>
        <w:jc w:val="both"/>
      </w:pPr>
    </w:p>
    <w:p w14:paraId="20DD0C2A" w14:textId="77777777" w:rsidR="00C812CE" w:rsidRDefault="00947BFA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2" w:name="_Toc164159254"/>
      <w:proofErr w:type="spellStart"/>
      <w:r w:rsidRPr="00B00664">
        <w:rPr>
          <w:b/>
          <w:bCs/>
          <w:u w:val="single"/>
        </w:rPr>
        <w:t>Vulnerable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customer</w:t>
      </w:r>
      <w:proofErr w:type="spellEnd"/>
      <w:r w:rsidRPr="00B00664">
        <w:rPr>
          <w:b/>
          <w:bCs/>
          <w:u w:val="single"/>
        </w:rPr>
        <w:t xml:space="preserve"> (</w:t>
      </w:r>
      <w:proofErr w:type="spellStart"/>
      <w:r w:rsidR="00AB27DD" w:rsidRPr="00B00664">
        <w:rPr>
          <w:b/>
          <w:bCs/>
          <w:u w:val="single"/>
        </w:rPr>
        <w:t>Decree</w:t>
      </w:r>
      <w:proofErr w:type="spellEnd"/>
      <w:r w:rsidR="00AB27DD" w:rsidRPr="00B00664">
        <w:rPr>
          <w:b/>
          <w:bCs/>
          <w:u w:val="single"/>
        </w:rPr>
        <w:t xml:space="preserve"> No </w:t>
      </w:r>
      <w:r w:rsidRPr="00B00664">
        <w:rPr>
          <w:b/>
          <w:bCs/>
          <w:u w:val="single"/>
        </w:rPr>
        <w:t xml:space="preserve">408/2015 </w:t>
      </w:r>
      <w:proofErr w:type="spellStart"/>
      <w:r w:rsidRPr="00B00664">
        <w:rPr>
          <w:b/>
          <w:bCs/>
          <w:u w:val="single"/>
        </w:rPr>
        <w:t>Coll</w:t>
      </w:r>
      <w:proofErr w:type="spellEnd"/>
      <w:r w:rsidRPr="00B00664">
        <w:rPr>
          <w:b/>
          <w:bCs/>
          <w:u w:val="single"/>
        </w:rPr>
        <w:t>.)</w:t>
      </w:r>
      <w:bookmarkEnd w:id="2"/>
    </w:p>
    <w:p w14:paraId="5B286572" w14:textId="77777777" w:rsidR="00C812CE" w:rsidRDefault="00947BFA">
      <w:pPr>
        <w:pStyle w:val="Nadpis3"/>
        <w:jc w:val="both"/>
        <w:rPr>
          <w:b/>
          <w:bCs/>
        </w:rPr>
      </w:pPr>
      <w:bookmarkStart w:id="3" w:name="_Toc164159255"/>
      <w:proofErr w:type="spellStart"/>
      <w:r w:rsidRPr="00B00664">
        <w:rPr>
          <w:b/>
          <w:bCs/>
        </w:rPr>
        <w:t>Vulnerable</w:t>
      </w:r>
      <w:proofErr w:type="spellEnd"/>
      <w:r w:rsidRPr="00B00664">
        <w:rPr>
          <w:b/>
          <w:bCs/>
        </w:rPr>
        <w:t xml:space="preserve"> </w:t>
      </w:r>
      <w:proofErr w:type="spellStart"/>
      <w:r w:rsidRPr="00B00664">
        <w:rPr>
          <w:b/>
          <w:bCs/>
        </w:rPr>
        <w:t>customer</w:t>
      </w:r>
      <w:proofErr w:type="spellEnd"/>
      <w:r w:rsidRPr="00B00664">
        <w:rPr>
          <w:b/>
          <w:bCs/>
        </w:rPr>
        <w:t xml:space="preserve"> flag </w:t>
      </w:r>
      <w:proofErr w:type="spellStart"/>
      <w:r w:rsidRPr="00B00664">
        <w:rPr>
          <w:b/>
          <w:bCs/>
        </w:rPr>
        <w:t>registration</w:t>
      </w:r>
      <w:proofErr w:type="spellEnd"/>
      <w:r w:rsidRPr="00B00664">
        <w:rPr>
          <w:b/>
          <w:bCs/>
        </w:rPr>
        <w:t xml:space="preserve"> on master data in CS OTE</w:t>
      </w:r>
      <w:bookmarkEnd w:id="3"/>
    </w:p>
    <w:p w14:paraId="37C8BD7A" w14:textId="77777777" w:rsidR="00C812CE" w:rsidRDefault="00947BFA">
      <w:pPr>
        <w:jc w:val="both"/>
      </w:pPr>
      <w:r w:rsidRPr="007A423F">
        <w:t xml:space="preserve">To </w:t>
      </w:r>
      <w:proofErr w:type="spellStart"/>
      <w:r w:rsidRPr="007A423F">
        <w:t>register</w:t>
      </w:r>
      <w:proofErr w:type="spellEnd"/>
      <w:r w:rsidRPr="007A423F">
        <w:t xml:space="preserve"> a </w:t>
      </w:r>
      <w:proofErr w:type="spellStart"/>
      <w:r w:rsidRPr="007A423F">
        <w:t>vulnerable</w:t>
      </w:r>
      <w:proofErr w:type="spellEnd"/>
      <w:r w:rsidRPr="007A423F">
        <w:t xml:space="preserve"> </w:t>
      </w:r>
      <w:proofErr w:type="spellStart"/>
      <w:r w:rsidRPr="007A423F">
        <w:t>customer</w:t>
      </w:r>
      <w:proofErr w:type="spellEnd"/>
      <w:r w:rsidRPr="007A423F">
        <w:t xml:space="preserve">, </w:t>
      </w:r>
      <w:proofErr w:type="spellStart"/>
      <w:r w:rsidRPr="007A423F">
        <w:t>the</w:t>
      </w:r>
      <w:proofErr w:type="spellEnd"/>
      <w:r w:rsidRPr="007A423F">
        <w:t xml:space="preserve"> MASTERDATA </w:t>
      </w:r>
      <w:proofErr w:type="spellStart"/>
      <w:r w:rsidRPr="007A423F">
        <w:t>registration</w:t>
      </w:r>
      <w:proofErr w:type="spellEnd"/>
      <w:r w:rsidRPr="007A423F">
        <w:t xml:space="preserve"> </w:t>
      </w:r>
      <w:proofErr w:type="spellStart"/>
      <w:r w:rsidRPr="007A423F">
        <w:t>message</w:t>
      </w:r>
      <w:proofErr w:type="spellEnd"/>
      <w:r w:rsidRPr="007A423F">
        <w:t xml:space="preserve">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be</w:t>
      </w:r>
      <w:proofErr w:type="spellEnd"/>
      <w:r w:rsidRPr="007A423F">
        <w:t xml:space="preserve"> </w:t>
      </w:r>
      <w:proofErr w:type="spellStart"/>
      <w:r w:rsidRPr="007A423F">
        <w:t>extended</w:t>
      </w:r>
      <w:proofErr w:type="spellEnd"/>
      <w:r w:rsidRPr="007A423F">
        <w:t xml:space="preserve"> </w:t>
      </w:r>
      <w:proofErr w:type="spellStart"/>
      <w:r w:rsidRPr="007A423F">
        <w:t>with</w:t>
      </w:r>
      <w:proofErr w:type="spellEnd"/>
      <w:r w:rsidRPr="007A423F">
        <w:t xml:space="preserve"> a </w:t>
      </w:r>
      <w:proofErr w:type="spellStart"/>
      <w:r w:rsidRPr="007A423F">
        <w:t>new</w:t>
      </w:r>
      <w:proofErr w:type="spellEnd"/>
      <w:r w:rsidRPr="007A423F">
        <w:t xml:space="preserve"> flag </w:t>
      </w:r>
      <w:r w:rsidR="00B00664">
        <w:t>"</w:t>
      </w:r>
      <w:proofErr w:type="spellStart"/>
      <w:r w:rsidRPr="007A423F">
        <w:t>Vulnerable</w:t>
      </w:r>
      <w:proofErr w:type="spellEnd"/>
      <w:r w:rsidRPr="007A423F">
        <w:t xml:space="preserve"> </w:t>
      </w:r>
      <w:proofErr w:type="spellStart"/>
      <w:r w:rsidRPr="007A423F">
        <w:t>customer</w:t>
      </w:r>
      <w:proofErr w:type="spellEnd"/>
      <w:r w:rsidR="00B00664">
        <w:t>"</w:t>
      </w:r>
      <w:r w:rsidRPr="007A423F">
        <w:t xml:space="preserve">. </w:t>
      </w:r>
      <w:proofErr w:type="spellStart"/>
      <w:r w:rsidRPr="007A423F">
        <w:t>The</w:t>
      </w:r>
      <w:proofErr w:type="spellEnd"/>
      <w:r w:rsidRPr="007A423F">
        <w:t xml:space="preserve"> OPM master </w:t>
      </w:r>
      <w:proofErr w:type="spellStart"/>
      <w:r w:rsidRPr="007A423F">
        <w:t>record</w:t>
      </w:r>
      <w:proofErr w:type="spellEnd"/>
      <w:r w:rsidRPr="007A423F">
        <w:t xml:space="preserve">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also</w:t>
      </w:r>
      <w:proofErr w:type="spellEnd"/>
      <w:r w:rsidRPr="007A423F">
        <w:t xml:space="preserve"> </w:t>
      </w:r>
      <w:proofErr w:type="spellStart"/>
      <w:r w:rsidRPr="007A423F">
        <w:t>be</w:t>
      </w:r>
      <w:proofErr w:type="spellEnd"/>
      <w:r w:rsidRPr="007A423F">
        <w:t xml:space="preserve"> </w:t>
      </w:r>
      <w:proofErr w:type="spellStart"/>
      <w:r w:rsidRPr="007A423F">
        <w:t>extended</w:t>
      </w:r>
      <w:proofErr w:type="spellEnd"/>
      <w:r w:rsidRPr="007A423F">
        <w:t xml:space="preserve"> </w:t>
      </w:r>
      <w:proofErr w:type="spellStart"/>
      <w:r w:rsidRPr="007A423F">
        <w:t>with</w:t>
      </w:r>
      <w:proofErr w:type="spellEnd"/>
      <w:r w:rsidRPr="007A423F">
        <w:t xml:space="preserve"> </w:t>
      </w:r>
      <w:proofErr w:type="spellStart"/>
      <w:r w:rsidRPr="007A423F">
        <w:t>this</w:t>
      </w:r>
      <w:proofErr w:type="spellEnd"/>
      <w:r w:rsidRPr="007A423F">
        <w:t xml:space="preserve"> </w:t>
      </w:r>
      <w:proofErr w:type="spellStart"/>
      <w:r w:rsidRPr="007A423F">
        <w:t>new</w:t>
      </w:r>
      <w:proofErr w:type="spellEnd"/>
      <w:r w:rsidRPr="007A423F">
        <w:t xml:space="preserve"> </w:t>
      </w:r>
      <w:proofErr w:type="spellStart"/>
      <w:r w:rsidRPr="007A423F">
        <w:t>attribute</w:t>
      </w:r>
      <w:proofErr w:type="spellEnd"/>
      <w:r w:rsidRPr="007A423F">
        <w:t xml:space="preserve">. </w:t>
      </w:r>
      <w:proofErr w:type="spellStart"/>
      <w:r w:rsidRPr="007A423F">
        <w:t>Information</w:t>
      </w:r>
      <w:proofErr w:type="spellEnd"/>
      <w:r w:rsidRPr="007A423F">
        <w:t xml:space="preserve"> </w:t>
      </w:r>
      <w:proofErr w:type="spellStart"/>
      <w:r w:rsidR="00B00664">
        <w:t>about</w:t>
      </w:r>
      <w:proofErr w:type="spellEnd"/>
      <w:r w:rsidR="00B00664">
        <w:t xml:space="preserve"> </w:t>
      </w:r>
      <w:proofErr w:type="spellStart"/>
      <w:r w:rsidR="00B00664">
        <w:t>this</w:t>
      </w:r>
      <w:proofErr w:type="spellEnd"/>
      <w:r w:rsidR="00B00664">
        <w:t xml:space="preserve"> </w:t>
      </w:r>
      <w:proofErr w:type="spellStart"/>
      <w:r w:rsidR="00B00664">
        <w:t>attribute</w:t>
      </w:r>
      <w:proofErr w:type="spellEnd"/>
      <w:r w:rsidR="00B00664">
        <w:t xml:space="preserve">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be</w:t>
      </w:r>
      <w:proofErr w:type="spellEnd"/>
      <w:r w:rsidRPr="007A423F">
        <w:t xml:space="preserve"> </w:t>
      </w:r>
      <w:proofErr w:type="spellStart"/>
      <w:r w:rsidRPr="007A423F">
        <w:t>sent</w:t>
      </w:r>
      <w:proofErr w:type="spellEnd"/>
      <w:r w:rsidRPr="007A423F">
        <w:t xml:space="preserve"> to OTE by </w:t>
      </w:r>
      <w:proofErr w:type="spellStart"/>
      <w:r w:rsidRPr="007A423F">
        <w:t>the</w:t>
      </w:r>
      <w:proofErr w:type="spellEnd"/>
      <w:r w:rsidRPr="007A423F">
        <w:t xml:space="preserve"> </w:t>
      </w:r>
      <w:r w:rsidR="00AB27DD">
        <w:t xml:space="preserve">DSO </w:t>
      </w:r>
      <w:r w:rsidRPr="007A423F">
        <w:t xml:space="preserve">in </w:t>
      </w:r>
      <w:proofErr w:type="spellStart"/>
      <w:r w:rsidRPr="007A423F">
        <w:t>the</w:t>
      </w:r>
      <w:proofErr w:type="spellEnd"/>
      <w:r w:rsidRPr="007A423F">
        <w:t xml:space="preserve"> 111 </w:t>
      </w:r>
      <w:proofErr w:type="spellStart"/>
      <w:r w:rsidRPr="007A423F">
        <w:t>registration</w:t>
      </w:r>
      <w:proofErr w:type="spellEnd"/>
      <w:r w:rsidRPr="007A423F">
        <w:t xml:space="preserve"> </w:t>
      </w:r>
      <w:proofErr w:type="spellStart"/>
      <w:r w:rsidRPr="007A423F">
        <w:t>message</w:t>
      </w:r>
      <w:proofErr w:type="spellEnd"/>
      <w:r w:rsidRPr="007A423F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0A58" w14:paraId="3D4164AC" w14:textId="77777777" w:rsidTr="00650A58">
        <w:tc>
          <w:tcPr>
            <w:tcW w:w="3020" w:type="dxa"/>
          </w:tcPr>
          <w:p w14:paraId="2B19BCDA" w14:textId="77777777" w:rsidR="00C812CE" w:rsidRDefault="00947BFA">
            <w:pPr>
              <w:jc w:val="both"/>
            </w:pPr>
            <w:proofErr w:type="spellStart"/>
            <w:r>
              <w:t>Attribute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3021" w:type="dxa"/>
          </w:tcPr>
          <w:p w14:paraId="156EAE45" w14:textId="77777777" w:rsidR="00C812CE" w:rsidRDefault="00947BFA">
            <w:pPr>
              <w:jc w:val="both"/>
            </w:pPr>
            <w:proofErr w:type="spellStart"/>
            <w:r>
              <w:t>Description</w:t>
            </w:r>
            <w:proofErr w:type="spellEnd"/>
          </w:p>
        </w:tc>
        <w:tc>
          <w:tcPr>
            <w:tcW w:w="3021" w:type="dxa"/>
          </w:tcPr>
          <w:p w14:paraId="522053F3" w14:textId="77777777" w:rsidR="00C812CE" w:rsidRDefault="00947BFA">
            <w:pPr>
              <w:jc w:val="both"/>
            </w:pPr>
            <w:proofErr w:type="spellStart"/>
            <w:r>
              <w:t>structure</w:t>
            </w:r>
            <w:proofErr w:type="spellEnd"/>
          </w:p>
        </w:tc>
      </w:tr>
      <w:tr w:rsidR="00650A58" w14:paraId="7D8D7A74" w14:textId="77777777" w:rsidTr="00650A58">
        <w:tc>
          <w:tcPr>
            <w:tcW w:w="3020" w:type="dxa"/>
          </w:tcPr>
          <w:p w14:paraId="10BFFAB2" w14:textId="77777777" w:rsidR="00C812CE" w:rsidRDefault="00947BFA">
            <w:pPr>
              <w:jc w:val="both"/>
            </w:pPr>
            <w:r>
              <w:t>v-</w:t>
            </w:r>
            <w:proofErr w:type="spellStart"/>
            <w:r>
              <w:t>customer</w:t>
            </w:r>
            <w:proofErr w:type="spellEnd"/>
          </w:p>
        </w:tc>
        <w:tc>
          <w:tcPr>
            <w:tcW w:w="3021" w:type="dxa"/>
          </w:tcPr>
          <w:p w14:paraId="30013AD5" w14:textId="77777777" w:rsidR="00C812CE" w:rsidRDefault="00947BFA">
            <w:pPr>
              <w:jc w:val="both"/>
            </w:pPr>
            <w:r>
              <w:t xml:space="preserve">Flag </w:t>
            </w:r>
            <w:proofErr w:type="spellStart"/>
            <w:r>
              <w:t>indicating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vulnerable</w:t>
            </w:r>
            <w:proofErr w:type="spellEnd"/>
          </w:p>
        </w:tc>
        <w:tc>
          <w:tcPr>
            <w:tcW w:w="3021" w:type="dxa"/>
          </w:tcPr>
          <w:p w14:paraId="3A3AD1C0" w14:textId="77777777" w:rsidR="00C812CE" w:rsidRDefault="00947BFA">
            <w:pPr>
              <w:jc w:val="both"/>
            </w:pPr>
            <w:proofErr w:type="spellStart"/>
            <w:r>
              <w:t>Boolean</w:t>
            </w:r>
            <w:proofErr w:type="spellEnd"/>
            <w:r>
              <w:t xml:space="preserve"> (0/1)</w:t>
            </w:r>
          </w:p>
        </w:tc>
      </w:tr>
    </w:tbl>
    <w:p w14:paraId="379FADD3" w14:textId="77777777" w:rsidR="00650A58" w:rsidRDefault="00650A58" w:rsidP="00E75578">
      <w:pPr>
        <w:jc w:val="both"/>
      </w:pPr>
    </w:p>
    <w:p w14:paraId="03DC50E5" w14:textId="77777777" w:rsidR="00C812CE" w:rsidRDefault="00947BFA">
      <w:pPr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that</w:t>
      </w:r>
      <w:proofErr w:type="spellEnd"/>
      <w:r>
        <w:t xml:space="preserve"> a </w:t>
      </w:r>
      <w:r w:rsidR="0095269A">
        <w:t xml:space="preserve">flag </w:t>
      </w:r>
      <w:proofErr w:type="spellStart"/>
      <w:r w:rsidR="0095269A">
        <w:t>indicating</w:t>
      </w:r>
      <w:proofErr w:type="spellEnd"/>
      <w:r w:rsidR="0095269A">
        <w:t xml:space="preserve"> a </w:t>
      </w:r>
      <w:proofErr w:type="spellStart"/>
      <w:r w:rsidR="0095269A">
        <w:t>vulnerable</w:t>
      </w:r>
      <w:proofErr w:type="spellEnd"/>
      <w:r w:rsidR="0095269A">
        <w:t xml:space="preserve"> </w:t>
      </w:r>
      <w:proofErr w:type="spellStart"/>
      <w:r w:rsidR="0095269A">
        <w:t>customer</w:t>
      </w:r>
      <w:proofErr w:type="spellEnd"/>
      <w:r w:rsidR="0095269A">
        <w:t xml:space="preserve"> </w:t>
      </w:r>
      <w:proofErr w:type="spellStart"/>
      <w:r w:rsidR="0095269A">
        <w:t>is</w:t>
      </w:r>
      <w:proofErr w:type="spellEnd"/>
      <w:r w:rsidR="0095269A">
        <w:t xml:space="preserve"> </w:t>
      </w:r>
      <w:proofErr w:type="spellStart"/>
      <w:r w:rsidR="0095269A">
        <w:t>included</w:t>
      </w:r>
      <w:proofErr w:type="spellEnd"/>
      <w:r w:rsidR="0095269A">
        <w:t xml:space="preserve"> in </w:t>
      </w:r>
      <w:proofErr w:type="spellStart"/>
      <w:r>
        <w:t>the</w:t>
      </w:r>
      <w:proofErr w:type="spellEnd"/>
      <w:r>
        <w:t xml:space="preserve"> 111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r w:rsidR="0095269A">
        <w:t xml:space="preserve">DS </w:t>
      </w:r>
      <w:proofErr w:type="spellStart"/>
      <w:r>
        <w:t>operator</w:t>
      </w:r>
      <w:proofErr w:type="spellEnd"/>
      <w:r w:rsidR="0095269A">
        <w:t xml:space="preserve">, </w:t>
      </w:r>
      <w:proofErr w:type="spellStart"/>
      <w:r w:rsidR="0095269A">
        <w:t>the</w:t>
      </w:r>
      <w:proofErr w:type="spellEnd"/>
      <w:r w:rsidR="0095269A">
        <w:t xml:space="preserve"> </w:t>
      </w:r>
      <w:proofErr w:type="spellStart"/>
      <w:r w:rsidR="0095269A">
        <w:t>registration</w:t>
      </w:r>
      <w:proofErr w:type="spellEnd"/>
      <w:r w:rsidR="0095269A">
        <w:t xml:space="preserve"> </w:t>
      </w:r>
      <w:proofErr w:type="spellStart"/>
      <w:r w:rsidR="0095269A">
        <w:t>message</w:t>
      </w:r>
      <w:proofErr w:type="spellEnd"/>
      <w:r w:rsidR="0095269A">
        <w:t xml:space="preserve"> </w:t>
      </w:r>
      <w:proofErr w:type="spellStart"/>
      <w:r w:rsidR="0095269A">
        <w:t>must</w:t>
      </w:r>
      <w:proofErr w:type="spellEnd"/>
      <w:r w:rsidR="0095269A">
        <w:t xml:space="preserve"> </w:t>
      </w:r>
      <w:proofErr w:type="spellStart"/>
      <w:r w:rsidR="0095269A">
        <w:t>include</w:t>
      </w:r>
      <w:proofErr w:type="spellEnd"/>
      <w:r w:rsidR="0095269A">
        <w:t xml:space="preserve"> </w:t>
      </w:r>
      <w:proofErr w:type="spellStart"/>
      <w:r w:rsidR="0095269A">
        <w:t>an</w:t>
      </w:r>
      <w:proofErr w:type="spellEnd"/>
      <w:r w:rsidR="0095269A">
        <w:t xml:space="preserve"> </w:t>
      </w:r>
      <w:proofErr w:type="spellStart"/>
      <w:r w:rsidR="0095269A">
        <w:t>estimate</w:t>
      </w:r>
      <w:proofErr w:type="spellEnd"/>
      <w:r w:rsidR="0095269A">
        <w:t xml:space="preserve"> of </w:t>
      </w:r>
      <w:proofErr w:type="spellStart"/>
      <w:r w:rsidR="0095269A">
        <w:t>the</w:t>
      </w:r>
      <w:proofErr w:type="spellEnd"/>
      <w:r w:rsidR="0095269A">
        <w:t xml:space="preserve"> </w:t>
      </w:r>
      <w:proofErr w:type="spellStart"/>
      <w:r w:rsidR="0095269A">
        <w:t>annual</w:t>
      </w:r>
      <w:proofErr w:type="spellEnd"/>
      <w:r w:rsidR="0095269A">
        <w:t xml:space="preserve"> </w:t>
      </w:r>
      <w:proofErr w:type="spellStart"/>
      <w:r w:rsidR="0095269A">
        <w:t>consumption</w:t>
      </w:r>
      <w:proofErr w:type="spellEnd"/>
      <w:r w:rsidR="0095269A">
        <w:t>.</w:t>
      </w:r>
    </w:p>
    <w:p w14:paraId="3618217B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r w:rsidR="00B00664">
        <w:t xml:space="preserve">on </w:t>
      </w:r>
      <w:proofErr w:type="spellStart"/>
      <w:r w:rsidR="00B00664">
        <w:t>the</w:t>
      </w:r>
      <w:proofErr w:type="spellEnd"/>
      <w:r w:rsidR="00B00664">
        <w:t xml:space="preserve"> </w:t>
      </w:r>
      <w:r>
        <w:t xml:space="preserve">OTE </w:t>
      </w:r>
      <w:proofErr w:type="spellStart"/>
      <w:r>
        <w:t>portal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registering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trunk</w:t>
      </w:r>
      <w:proofErr w:type="spellEnd"/>
      <w:r>
        <w:t xml:space="preserve"> data of </w:t>
      </w:r>
      <w:proofErr w:type="spellStart"/>
      <w:r>
        <w:t>the</w:t>
      </w:r>
      <w:proofErr w:type="spellEnd"/>
      <w:r>
        <w:t xml:space="preserve"> point of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OTE </w:t>
      </w:r>
      <w:proofErr w:type="spellStart"/>
      <w:r>
        <w:t>portal</w:t>
      </w:r>
      <w:proofErr w:type="spellEnd"/>
      <w:r>
        <w:t xml:space="preserve"> response to a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customer's</w:t>
      </w:r>
      <w:proofErr w:type="spellEnd"/>
      <w:r>
        <w:t xml:space="preserve"> master data (OPM </w:t>
      </w:r>
      <w:proofErr w:type="spellStart"/>
      <w:r>
        <w:t>codebook</w:t>
      </w:r>
      <w:proofErr w:type="spellEnd"/>
      <w:r>
        <w:t xml:space="preserve"> update)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>.</w:t>
      </w:r>
    </w:p>
    <w:p w14:paraId="56C93FAD" w14:textId="77777777" w:rsidR="003E4398" w:rsidRDefault="003E4398" w:rsidP="00E75578">
      <w:pPr>
        <w:jc w:val="both"/>
      </w:pPr>
    </w:p>
    <w:p w14:paraId="019CC171" w14:textId="77777777" w:rsidR="00C812CE" w:rsidRDefault="00947BFA">
      <w:pPr>
        <w:pStyle w:val="Nadpis3"/>
        <w:jc w:val="both"/>
        <w:rPr>
          <w:b/>
          <w:bCs/>
        </w:rPr>
      </w:pPr>
      <w:bookmarkStart w:id="4" w:name="_Toc164159256"/>
      <w:proofErr w:type="spellStart"/>
      <w:r w:rsidRPr="00B00664">
        <w:rPr>
          <w:b/>
          <w:bCs/>
        </w:rPr>
        <w:t>Procedure</w:t>
      </w:r>
      <w:proofErr w:type="spellEnd"/>
      <w:r w:rsidRPr="00B00664">
        <w:rPr>
          <w:b/>
          <w:bCs/>
        </w:rPr>
        <w:t xml:space="preserve"> </w:t>
      </w:r>
      <w:proofErr w:type="spellStart"/>
      <w:r w:rsidR="007A423F" w:rsidRPr="00B00664">
        <w:rPr>
          <w:b/>
          <w:bCs/>
        </w:rPr>
        <w:t>for</w:t>
      </w:r>
      <w:proofErr w:type="spellEnd"/>
      <w:r w:rsidR="007A423F" w:rsidRPr="00B00664">
        <w:rPr>
          <w:b/>
          <w:bCs/>
        </w:rPr>
        <w:t xml:space="preserve"> </w:t>
      </w:r>
      <w:proofErr w:type="spellStart"/>
      <w:r w:rsidRPr="00B00664">
        <w:rPr>
          <w:b/>
          <w:bCs/>
        </w:rPr>
        <w:t>securing</w:t>
      </w:r>
      <w:proofErr w:type="spellEnd"/>
      <w:r w:rsidRPr="00B00664">
        <w:rPr>
          <w:b/>
          <w:bCs/>
        </w:rPr>
        <w:t xml:space="preserve"> </w:t>
      </w:r>
      <w:proofErr w:type="spellStart"/>
      <w:r w:rsidR="007A423F" w:rsidRPr="00B00664">
        <w:rPr>
          <w:b/>
          <w:bCs/>
        </w:rPr>
        <w:t>delivery</w:t>
      </w:r>
      <w:proofErr w:type="spellEnd"/>
      <w:r w:rsidR="007A423F" w:rsidRPr="00B00664">
        <w:rPr>
          <w:b/>
          <w:bCs/>
        </w:rPr>
        <w:t xml:space="preserve"> to a </w:t>
      </w:r>
      <w:proofErr w:type="spellStart"/>
      <w:r w:rsidR="007A423F" w:rsidRPr="00B00664">
        <w:rPr>
          <w:b/>
          <w:bCs/>
        </w:rPr>
        <w:t>vulnerable</w:t>
      </w:r>
      <w:proofErr w:type="spellEnd"/>
      <w:r w:rsidR="007A423F" w:rsidRPr="00B00664">
        <w:rPr>
          <w:b/>
          <w:bCs/>
        </w:rPr>
        <w:t xml:space="preserve"> </w:t>
      </w:r>
      <w:proofErr w:type="spellStart"/>
      <w:r w:rsidR="007A423F" w:rsidRPr="00B00664">
        <w:rPr>
          <w:b/>
          <w:bCs/>
        </w:rPr>
        <w:t>customer</w:t>
      </w:r>
      <w:proofErr w:type="spellEnd"/>
      <w:r w:rsidR="007A423F" w:rsidRPr="00B00664">
        <w:rPr>
          <w:b/>
          <w:bCs/>
        </w:rPr>
        <w:t>-DPI</w:t>
      </w:r>
      <w:bookmarkEnd w:id="4"/>
    </w:p>
    <w:p w14:paraId="75B5CD9C" w14:textId="77777777" w:rsidR="00C812CE" w:rsidRDefault="00947BFA">
      <w:pPr>
        <w:jc w:val="both"/>
      </w:pPr>
      <w:r w:rsidRPr="007A423F">
        <w:t xml:space="preserve">In </w:t>
      </w:r>
      <w:proofErr w:type="spellStart"/>
      <w:r w:rsidRPr="007A423F">
        <w:t>order</w:t>
      </w:r>
      <w:proofErr w:type="spellEnd"/>
      <w:r w:rsidRPr="007A423F">
        <w:t xml:space="preserve"> to </w:t>
      </w:r>
      <w:proofErr w:type="spellStart"/>
      <w:r w:rsidRPr="007A423F">
        <w:t>ensure</w:t>
      </w:r>
      <w:proofErr w:type="spellEnd"/>
      <w:r w:rsidRPr="007A423F">
        <w:t xml:space="preserve"> </w:t>
      </w:r>
      <w:proofErr w:type="spellStart"/>
      <w:r w:rsidRPr="007A423F">
        <w:t>supply</w:t>
      </w:r>
      <w:proofErr w:type="spellEnd"/>
      <w:r w:rsidRPr="007A423F">
        <w:t xml:space="preserve"> to a </w:t>
      </w:r>
      <w:proofErr w:type="spellStart"/>
      <w:r w:rsidRPr="007A423F">
        <w:t>vulnerable</w:t>
      </w:r>
      <w:proofErr w:type="spellEnd"/>
      <w:r w:rsidRPr="007A423F">
        <w:t xml:space="preserve"> </w:t>
      </w:r>
      <w:proofErr w:type="spellStart"/>
      <w:r w:rsidRPr="007A423F">
        <w:t>customer</w:t>
      </w:r>
      <w:proofErr w:type="spellEnd"/>
      <w:r w:rsidRPr="007A423F">
        <w:t xml:space="preserve"> in </w:t>
      </w:r>
      <w:proofErr w:type="spellStart"/>
      <w:r w:rsidRPr="007A423F">
        <w:t>the</w:t>
      </w:r>
      <w:proofErr w:type="spellEnd"/>
      <w:r w:rsidRPr="007A423F">
        <w:t xml:space="preserve"> event </w:t>
      </w:r>
      <w:proofErr w:type="spellStart"/>
      <w:r w:rsidRPr="007A423F">
        <w:t>that</w:t>
      </w:r>
      <w:proofErr w:type="spellEnd"/>
      <w:r w:rsidRPr="007A423F">
        <w:t xml:space="preserve">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primary</w:t>
      </w:r>
      <w:proofErr w:type="spellEnd"/>
      <w:r w:rsidRPr="007A423F">
        <w:t xml:space="preserve"> </w:t>
      </w:r>
      <w:proofErr w:type="spellStart"/>
      <w:r w:rsidRPr="007A423F">
        <w:t>supplier's</w:t>
      </w:r>
      <w:proofErr w:type="spellEnd"/>
      <w:r w:rsidRPr="007A423F">
        <w:t xml:space="preserve"> </w:t>
      </w:r>
      <w:proofErr w:type="spellStart"/>
      <w:r w:rsidRPr="007A423F">
        <w:t>service</w:t>
      </w:r>
      <w:proofErr w:type="spellEnd"/>
      <w:r w:rsidRPr="007A423F">
        <w:t xml:space="preserve"> </w:t>
      </w:r>
      <w:proofErr w:type="spellStart"/>
      <w:r w:rsidRPr="007A423F">
        <w:t>ends</w:t>
      </w:r>
      <w:proofErr w:type="spellEnd"/>
      <w:r w:rsidRPr="007A423F">
        <w:t xml:space="preserve"> </w:t>
      </w:r>
      <w:proofErr w:type="spellStart"/>
      <w:r w:rsidRPr="007A423F">
        <w:t>at</w:t>
      </w:r>
      <w:proofErr w:type="spellEnd"/>
      <w:r w:rsidRPr="007A423F">
        <w:t xml:space="preserve"> OPM and a </w:t>
      </w:r>
      <w:proofErr w:type="spellStart"/>
      <w:r w:rsidRPr="007A423F">
        <w:t>change</w:t>
      </w:r>
      <w:proofErr w:type="spellEnd"/>
      <w:r w:rsidRPr="007A423F">
        <w:t xml:space="preserve"> of </w:t>
      </w:r>
      <w:proofErr w:type="spellStart"/>
      <w:r w:rsidRPr="007A423F">
        <w:t>supplier</w:t>
      </w:r>
      <w:proofErr w:type="spellEnd"/>
      <w:r w:rsidRPr="007A423F">
        <w:t xml:space="preserve"> (</w:t>
      </w:r>
      <w:proofErr w:type="spellStart"/>
      <w:r w:rsidRPr="007A423F">
        <w:t>approved</w:t>
      </w:r>
      <w:proofErr w:type="spellEnd"/>
      <w:r w:rsidRPr="007A423F">
        <w:t xml:space="preserve"> by ZD) to OPM </w:t>
      </w:r>
      <w:proofErr w:type="spellStart"/>
      <w:r w:rsidRPr="007A423F">
        <w:t>is</w:t>
      </w:r>
      <w:proofErr w:type="spellEnd"/>
      <w:r w:rsidRPr="007A423F">
        <w:t xml:space="preserve"> not </w:t>
      </w:r>
      <w:proofErr w:type="spellStart"/>
      <w:r w:rsidRPr="007A423F">
        <w:t>effective</w:t>
      </w:r>
      <w:proofErr w:type="spellEnd"/>
      <w:r w:rsidRPr="007A423F">
        <w:t xml:space="preserve"> on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following</w:t>
      </w:r>
      <w:proofErr w:type="spellEnd"/>
      <w:r w:rsidRPr="007A423F">
        <w:t xml:space="preserve"> </w:t>
      </w:r>
      <w:proofErr w:type="spellStart"/>
      <w:r w:rsidRPr="007A423F">
        <w:t>day</w:t>
      </w:r>
      <w:proofErr w:type="spellEnd"/>
      <w:r w:rsidRPr="007A423F">
        <w:t xml:space="preserve">, </w:t>
      </w:r>
      <w:proofErr w:type="spellStart"/>
      <w:r w:rsidRPr="007A423F">
        <w:t>or</w:t>
      </w:r>
      <w:proofErr w:type="spellEnd"/>
      <w:r w:rsidRPr="007A423F">
        <w:t xml:space="preserve"> </w:t>
      </w:r>
      <w:proofErr w:type="spellStart"/>
      <w:r w:rsidRPr="007A423F">
        <w:t>there</w:t>
      </w:r>
      <w:proofErr w:type="spellEnd"/>
      <w:r w:rsidRPr="007A423F">
        <w:t xml:space="preserve"> </w:t>
      </w:r>
      <w:proofErr w:type="spellStart"/>
      <w:r w:rsidRPr="007A423F">
        <w:t>is</w:t>
      </w:r>
      <w:proofErr w:type="spellEnd"/>
      <w:r w:rsidRPr="007A423F">
        <w:t xml:space="preserve"> no </w:t>
      </w:r>
      <w:proofErr w:type="spellStart"/>
      <w:r w:rsidRPr="007A423F">
        <w:t>electricity</w:t>
      </w:r>
      <w:proofErr w:type="spellEnd"/>
      <w:r w:rsidRPr="007A423F">
        <w:t xml:space="preserve"> </w:t>
      </w:r>
      <w:proofErr w:type="spellStart"/>
      <w:r w:rsidRPr="007A423F">
        <w:t>supplier</w:t>
      </w:r>
      <w:proofErr w:type="spellEnd"/>
      <w:r w:rsidRPr="007A423F">
        <w:t xml:space="preserve"> </w:t>
      </w:r>
      <w:proofErr w:type="spellStart"/>
      <w:r w:rsidRPr="007A423F">
        <w:t>registered</w:t>
      </w:r>
      <w:proofErr w:type="spellEnd"/>
      <w:r w:rsidRPr="007A423F">
        <w:t xml:space="preserve"> </w:t>
      </w:r>
      <w:proofErr w:type="spellStart"/>
      <w:r w:rsidRPr="007A423F">
        <w:t>at</w:t>
      </w:r>
      <w:proofErr w:type="spellEnd"/>
      <w:r w:rsidRPr="007A423F">
        <w:t xml:space="preserve"> </w:t>
      </w:r>
      <w:proofErr w:type="spellStart"/>
      <w:r w:rsidRPr="007A423F">
        <w:t>this</w:t>
      </w:r>
      <w:proofErr w:type="spellEnd"/>
      <w:r w:rsidRPr="007A423F">
        <w:t xml:space="preserve"> OPM (</w:t>
      </w:r>
      <w:proofErr w:type="spellStart"/>
      <w:r w:rsidRPr="007A423F">
        <w:t>from</w:t>
      </w:r>
      <w:proofErr w:type="spellEnd"/>
      <w:r w:rsidRPr="007A423F">
        <w:t xml:space="preserve">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day</w:t>
      </w:r>
      <w:proofErr w:type="spellEnd"/>
      <w:r w:rsidRPr="007A423F">
        <w:t xml:space="preserve"> </w:t>
      </w:r>
      <w:proofErr w:type="spellStart"/>
      <w:r w:rsidRPr="007A423F">
        <w:t>after</w:t>
      </w:r>
      <w:proofErr w:type="spellEnd"/>
      <w:r w:rsidRPr="007A423F">
        <w:t xml:space="preserve"> </w:t>
      </w:r>
      <w:proofErr w:type="spellStart"/>
      <w:r w:rsidRPr="007A423F">
        <w:t>the</w:t>
      </w:r>
      <w:proofErr w:type="spellEnd"/>
      <w:r w:rsidRPr="007A423F">
        <w:t xml:space="preserve"> end of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previous</w:t>
      </w:r>
      <w:proofErr w:type="spellEnd"/>
      <w:r w:rsidRPr="007A423F">
        <w:t xml:space="preserve"> </w:t>
      </w:r>
      <w:proofErr w:type="spellStart"/>
      <w:r w:rsidRPr="007A423F">
        <w:t>supplier's</w:t>
      </w:r>
      <w:proofErr w:type="spellEnd"/>
      <w:r w:rsidRPr="007A423F">
        <w:t xml:space="preserve"> </w:t>
      </w:r>
      <w:proofErr w:type="spellStart"/>
      <w:r w:rsidRPr="007A423F">
        <w:t>assignment</w:t>
      </w:r>
      <w:proofErr w:type="spellEnd"/>
      <w:r w:rsidRPr="007A423F">
        <w:t xml:space="preserve">), </w:t>
      </w:r>
      <w:proofErr w:type="spellStart"/>
      <w:r w:rsidRPr="007A423F">
        <w:t>this</w:t>
      </w:r>
      <w:proofErr w:type="spellEnd"/>
      <w:r w:rsidRPr="007A423F">
        <w:t xml:space="preserve"> point of </w:t>
      </w:r>
      <w:proofErr w:type="spellStart"/>
      <w:r w:rsidRPr="007A423F">
        <w:t>consumption</w:t>
      </w:r>
      <w:proofErr w:type="spellEnd"/>
      <w:r w:rsidRPr="007A423F">
        <w:t xml:space="preserve">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be</w:t>
      </w:r>
      <w:proofErr w:type="spellEnd"/>
      <w:r w:rsidRPr="007A423F">
        <w:t xml:space="preserve"> </w:t>
      </w:r>
      <w:proofErr w:type="spellStart"/>
      <w:r w:rsidRPr="007A423F">
        <w:t>transferred</w:t>
      </w:r>
      <w:proofErr w:type="spellEnd"/>
      <w:r w:rsidRPr="007A423F">
        <w:t xml:space="preserve"> to </w:t>
      </w:r>
      <w:proofErr w:type="spellStart"/>
      <w:r w:rsidRPr="007A423F">
        <w:t>the</w:t>
      </w:r>
      <w:proofErr w:type="spellEnd"/>
      <w:r w:rsidRPr="007A423F">
        <w:t xml:space="preserve"> DPI </w:t>
      </w:r>
      <w:proofErr w:type="spellStart"/>
      <w:r w:rsidRPr="007A423F">
        <w:t>supply</w:t>
      </w:r>
      <w:proofErr w:type="spellEnd"/>
      <w:r w:rsidRPr="007A423F">
        <w:t xml:space="preserve"> </w:t>
      </w:r>
      <w:proofErr w:type="spellStart"/>
      <w:r w:rsidRPr="007A423F">
        <w:t>regime</w:t>
      </w:r>
      <w:proofErr w:type="spellEnd"/>
      <w:r w:rsidRPr="007A423F">
        <w:t xml:space="preserve">. A DPI Supplier and </w:t>
      </w:r>
      <w:r w:rsidR="00AB27DD">
        <w:t xml:space="preserve">DPI </w:t>
      </w:r>
      <w:r w:rsidRPr="007A423F">
        <w:t xml:space="preserve">Settlement Entity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be</w:t>
      </w:r>
      <w:proofErr w:type="spellEnd"/>
      <w:r w:rsidRPr="007A423F">
        <w:t xml:space="preserve"> </w:t>
      </w:r>
      <w:proofErr w:type="spellStart"/>
      <w:r w:rsidRPr="007A423F">
        <w:t>assigned</w:t>
      </w:r>
      <w:proofErr w:type="spellEnd"/>
      <w:r w:rsidRPr="007A423F">
        <w:t xml:space="preserve"> to </w:t>
      </w:r>
      <w:proofErr w:type="spellStart"/>
      <w:r w:rsidRPr="007A423F">
        <w:t>the</w:t>
      </w:r>
      <w:proofErr w:type="spellEnd"/>
      <w:r w:rsidRPr="007A423F">
        <w:t xml:space="preserve"> OPM </w:t>
      </w:r>
      <w:proofErr w:type="spellStart"/>
      <w:r w:rsidRPr="007A423F">
        <w:t>for</w:t>
      </w:r>
      <w:proofErr w:type="spellEnd"/>
      <w:r w:rsidRPr="007A423F">
        <w:t xml:space="preserve"> a period </w:t>
      </w:r>
      <w:proofErr w:type="spellStart"/>
      <w:r w:rsidRPr="007A423F">
        <w:t>until</w:t>
      </w:r>
      <w:proofErr w:type="spellEnd"/>
      <w:r w:rsidRPr="007A423F">
        <w:t xml:space="preserve">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next</w:t>
      </w:r>
      <w:proofErr w:type="spellEnd"/>
      <w:r w:rsidRPr="007A423F">
        <w:t xml:space="preserve"> </w:t>
      </w:r>
      <w:proofErr w:type="spellStart"/>
      <w:r w:rsidRPr="007A423F">
        <w:t>approved</w:t>
      </w:r>
      <w:proofErr w:type="spellEnd"/>
      <w:r w:rsidRPr="007A423F">
        <w:t xml:space="preserve"> </w:t>
      </w:r>
      <w:proofErr w:type="spellStart"/>
      <w:r w:rsidRPr="007A423F">
        <w:t>change</w:t>
      </w:r>
      <w:proofErr w:type="spellEnd"/>
      <w:r w:rsidRPr="007A423F">
        <w:t xml:space="preserve"> of </w:t>
      </w:r>
      <w:proofErr w:type="spellStart"/>
      <w:r w:rsidRPr="007A423F">
        <w:t>supplier</w:t>
      </w:r>
      <w:proofErr w:type="spellEnd"/>
      <w:r w:rsidRPr="007A423F">
        <w:t xml:space="preserve"> in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future</w:t>
      </w:r>
      <w:proofErr w:type="spellEnd"/>
      <w:r w:rsidRPr="007A423F">
        <w:t xml:space="preserve"> </w:t>
      </w:r>
      <w:proofErr w:type="spellStart"/>
      <w:r w:rsidRPr="007A423F">
        <w:t>or</w:t>
      </w:r>
      <w:proofErr w:type="spellEnd"/>
      <w:r w:rsidRPr="007A423F">
        <w:t xml:space="preserve"> </w:t>
      </w:r>
      <w:proofErr w:type="spellStart"/>
      <w:r w:rsidRPr="007A423F">
        <w:t>until</w:t>
      </w:r>
      <w:proofErr w:type="spellEnd"/>
      <w:r w:rsidRPr="007A423F">
        <w:t xml:space="preserve"> </w:t>
      </w:r>
      <w:proofErr w:type="spellStart"/>
      <w:r w:rsidRPr="007A423F">
        <w:t>the</w:t>
      </w:r>
      <w:proofErr w:type="spellEnd"/>
      <w:r w:rsidRPr="007A423F">
        <w:t xml:space="preserve"> end of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Vulnerable</w:t>
      </w:r>
      <w:proofErr w:type="spellEnd"/>
      <w:r w:rsidRPr="007A423F">
        <w:t xml:space="preserve"> </w:t>
      </w:r>
      <w:proofErr w:type="spellStart"/>
      <w:r w:rsidRPr="007A423F">
        <w:t>Customer</w:t>
      </w:r>
      <w:proofErr w:type="spellEnd"/>
      <w:r w:rsidRPr="007A423F">
        <w:t xml:space="preserve"> flag, but not </w:t>
      </w:r>
      <w:proofErr w:type="spellStart"/>
      <w:r w:rsidRPr="007A423F">
        <w:t>exceeding</w:t>
      </w:r>
      <w:proofErr w:type="spellEnd"/>
      <w:r w:rsidRPr="007A423F">
        <w:t xml:space="preserve"> 3 </w:t>
      </w:r>
      <w:proofErr w:type="spellStart"/>
      <w:r w:rsidRPr="007A423F">
        <w:t>months</w:t>
      </w:r>
      <w:proofErr w:type="spellEnd"/>
      <w:r w:rsidRPr="007A423F">
        <w:t>.</w:t>
      </w:r>
    </w:p>
    <w:p w14:paraId="5A9DD767" w14:textId="77777777" w:rsidR="00C812CE" w:rsidRDefault="00947BFA">
      <w:pPr>
        <w:jc w:val="both"/>
      </w:pPr>
      <w:proofErr w:type="spellStart"/>
      <w:r w:rsidRPr="007A423F">
        <w:t>After</w:t>
      </w:r>
      <w:proofErr w:type="spellEnd"/>
      <w:r w:rsidRPr="007A423F">
        <w:t xml:space="preserve">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vulnerable</w:t>
      </w:r>
      <w:proofErr w:type="spellEnd"/>
      <w:r w:rsidRPr="007A423F">
        <w:t xml:space="preserve"> </w:t>
      </w:r>
      <w:proofErr w:type="spellStart"/>
      <w:r w:rsidRPr="007A423F">
        <w:t>customer's</w:t>
      </w:r>
      <w:proofErr w:type="spellEnd"/>
      <w:r w:rsidRPr="007A423F">
        <w:t xml:space="preserve"> point of </w:t>
      </w:r>
      <w:proofErr w:type="spellStart"/>
      <w:r w:rsidRPr="007A423F">
        <w:t>supply</w:t>
      </w:r>
      <w:proofErr w:type="spellEnd"/>
      <w:r w:rsidRPr="007A423F">
        <w:t xml:space="preserve"> has </w:t>
      </w:r>
      <w:proofErr w:type="spellStart"/>
      <w:r w:rsidRPr="007A423F">
        <w:t>been</w:t>
      </w:r>
      <w:proofErr w:type="spellEnd"/>
      <w:r w:rsidRPr="007A423F">
        <w:t xml:space="preserve"> </w:t>
      </w:r>
      <w:proofErr w:type="spellStart"/>
      <w:r w:rsidRPr="007A423F">
        <w:t>assigned</w:t>
      </w:r>
      <w:proofErr w:type="spellEnd"/>
      <w:r w:rsidRPr="007A423F">
        <w:t xml:space="preserve"> to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supplier</w:t>
      </w:r>
      <w:proofErr w:type="spellEnd"/>
      <w:r w:rsidRPr="007A423F">
        <w:t xml:space="preserve"> of last resort, OTE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inform</w:t>
      </w:r>
      <w:proofErr w:type="spellEnd"/>
      <w:r w:rsidRPr="007A423F">
        <w:t xml:space="preserve"> </w:t>
      </w:r>
      <w:proofErr w:type="spellStart"/>
      <w:r w:rsidRPr="007A423F">
        <w:t>the</w:t>
      </w:r>
      <w:proofErr w:type="spellEnd"/>
      <w:r w:rsidRPr="007A423F">
        <w:t xml:space="preserve"> </w:t>
      </w:r>
      <w:proofErr w:type="spellStart"/>
      <w:r w:rsidRPr="007A423F">
        <w:t>affected</w:t>
      </w:r>
      <w:proofErr w:type="spellEnd"/>
      <w:r w:rsidRPr="007A423F">
        <w:t xml:space="preserve"> </w:t>
      </w:r>
      <w:proofErr w:type="spellStart"/>
      <w:r w:rsidRPr="007A423F">
        <w:t>entities</w:t>
      </w:r>
      <w:proofErr w:type="spellEnd"/>
      <w:r w:rsidRPr="007A423F">
        <w:t xml:space="preserve"> of </w:t>
      </w:r>
      <w:proofErr w:type="spellStart"/>
      <w:r w:rsidRPr="007A423F">
        <w:t>this</w:t>
      </w:r>
      <w:proofErr w:type="spellEnd"/>
      <w:r w:rsidRPr="007A423F">
        <w:t xml:space="preserve"> </w:t>
      </w:r>
      <w:proofErr w:type="spellStart"/>
      <w:r w:rsidRPr="007A423F">
        <w:t>fact</w:t>
      </w:r>
      <w:proofErr w:type="spellEnd"/>
      <w:r w:rsidRPr="007A423F">
        <w:t xml:space="preserve"> by </w:t>
      </w:r>
      <w:proofErr w:type="spellStart"/>
      <w:r w:rsidRPr="007A423F">
        <w:t>means</w:t>
      </w:r>
      <w:proofErr w:type="spellEnd"/>
      <w:r w:rsidRPr="007A423F">
        <w:t xml:space="preserve"> of a 245 </w:t>
      </w:r>
      <w:proofErr w:type="spellStart"/>
      <w:r w:rsidRPr="007A423F">
        <w:t>message</w:t>
      </w:r>
      <w:proofErr w:type="spellEnd"/>
      <w:r w:rsidRPr="007A423F">
        <w:t>.</w:t>
      </w:r>
    </w:p>
    <w:p w14:paraId="745D67DA" w14:textId="77777777" w:rsidR="00650A58" w:rsidRPr="00650A58" w:rsidRDefault="00650A58" w:rsidP="00E75578">
      <w:pPr>
        <w:jc w:val="both"/>
      </w:pPr>
    </w:p>
    <w:p w14:paraId="3E660371" w14:textId="77777777" w:rsidR="00C812CE" w:rsidRDefault="00947BFA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5" w:name="_Toc164159257"/>
      <w:proofErr w:type="spellStart"/>
      <w:r w:rsidRPr="00B00664">
        <w:rPr>
          <w:b/>
          <w:bCs/>
          <w:u w:val="single"/>
        </w:rPr>
        <w:t>Measurement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category</w:t>
      </w:r>
      <w:proofErr w:type="spellEnd"/>
      <w:r w:rsidRPr="00B00664">
        <w:rPr>
          <w:b/>
          <w:bCs/>
          <w:u w:val="single"/>
        </w:rPr>
        <w:t xml:space="preserve"> (</w:t>
      </w:r>
      <w:proofErr w:type="spellStart"/>
      <w:r w:rsidR="00AB27DD" w:rsidRPr="00B00664">
        <w:rPr>
          <w:b/>
          <w:bCs/>
          <w:u w:val="single"/>
        </w:rPr>
        <w:t>Decree</w:t>
      </w:r>
      <w:proofErr w:type="spellEnd"/>
      <w:r w:rsidR="00AB27DD" w:rsidRPr="00B00664">
        <w:rPr>
          <w:b/>
          <w:bCs/>
          <w:u w:val="single"/>
        </w:rPr>
        <w:t xml:space="preserve"> No. </w:t>
      </w:r>
      <w:r w:rsidRPr="00B00664">
        <w:rPr>
          <w:b/>
          <w:bCs/>
          <w:u w:val="single"/>
        </w:rPr>
        <w:t xml:space="preserve">359/2020 </w:t>
      </w:r>
      <w:proofErr w:type="spellStart"/>
      <w:r w:rsidRPr="00B00664">
        <w:rPr>
          <w:b/>
          <w:bCs/>
          <w:u w:val="single"/>
        </w:rPr>
        <w:t>Coll</w:t>
      </w:r>
      <w:proofErr w:type="spellEnd"/>
      <w:r w:rsidRPr="00B00664">
        <w:rPr>
          <w:b/>
          <w:bCs/>
          <w:u w:val="single"/>
        </w:rPr>
        <w:t>.)</w:t>
      </w:r>
      <w:bookmarkEnd w:id="5"/>
    </w:p>
    <w:p w14:paraId="6A9ED998" w14:textId="77777777" w:rsidR="00C812CE" w:rsidRDefault="00947BFA">
      <w:pPr>
        <w:jc w:val="both"/>
      </w:pPr>
      <w:proofErr w:type="spellStart"/>
      <w:r w:rsidRPr="007A423F">
        <w:t>For</w:t>
      </w:r>
      <w:proofErr w:type="spellEnd"/>
      <w:r w:rsidRPr="007A423F">
        <w:t xml:space="preserve"> </w:t>
      </w:r>
      <w:proofErr w:type="spellStart"/>
      <w:r w:rsidRPr="007A423F">
        <w:t>metering</w:t>
      </w:r>
      <w:proofErr w:type="spellEnd"/>
      <w:r w:rsidRPr="007A423F">
        <w:t xml:space="preserve"> type C, a </w:t>
      </w:r>
      <w:proofErr w:type="spellStart"/>
      <w:r w:rsidRPr="007A423F">
        <w:t>new</w:t>
      </w:r>
      <w:proofErr w:type="spellEnd"/>
      <w:r w:rsidRPr="007A423F">
        <w:t xml:space="preserve"> </w:t>
      </w:r>
      <w:proofErr w:type="spellStart"/>
      <w:r w:rsidRPr="007A423F">
        <w:t>metering</w:t>
      </w:r>
      <w:proofErr w:type="spellEnd"/>
      <w:r w:rsidRPr="007A423F">
        <w:t xml:space="preserve"> </w:t>
      </w:r>
      <w:proofErr w:type="spellStart"/>
      <w:r w:rsidRPr="007A423F">
        <w:t>category</w:t>
      </w:r>
      <w:proofErr w:type="spellEnd"/>
      <w:r w:rsidRPr="007A423F">
        <w:t xml:space="preserve">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also</w:t>
      </w:r>
      <w:proofErr w:type="spellEnd"/>
      <w:r w:rsidRPr="007A423F">
        <w:t xml:space="preserve"> </w:t>
      </w:r>
      <w:proofErr w:type="spellStart"/>
      <w:r w:rsidRPr="007A423F">
        <w:t>be</w:t>
      </w:r>
      <w:proofErr w:type="spellEnd"/>
      <w:r w:rsidRPr="007A423F">
        <w:t xml:space="preserve"> </w:t>
      </w:r>
      <w:proofErr w:type="spellStart"/>
      <w:r w:rsidRPr="007A423F">
        <w:t>introduced</w:t>
      </w:r>
      <w:proofErr w:type="spellEnd"/>
      <w:r w:rsidRPr="007A423F">
        <w:t xml:space="preserve">, </w:t>
      </w:r>
      <w:proofErr w:type="spellStart"/>
      <w:r w:rsidRPr="007A423F">
        <w:t>which</w:t>
      </w:r>
      <w:proofErr w:type="spellEnd"/>
      <w:r w:rsidRPr="007A423F">
        <w:t xml:space="preserve"> </w:t>
      </w:r>
      <w:proofErr w:type="spellStart"/>
      <w:r w:rsidRPr="007A423F">
        <w:t>will</w:t>
      </w:r>
      <w:proofErr w:type="spellEnd"/>
      <w:r w:rsidRPr="007A423F">
        <w:t xml:space="preserve"> </w:t>
      </w:r>
      <w:proofErr w:type="spellStart"/>
      <w:r w:rsidRPr="007A423F">
        <w:t>be</w:t>
      </w:r>
      <w:proofErr w:type="spellEnd"/>
      <w:r w:rsidRPr="007A423F">
        <w:t xml:space="preserve"> </w:t>
      </w:r>
      <w:proofErr w:type="spellStart"/>
      <w:r w:rsidRPr="007A423F">
        <w:t>relevant</w:t>
      </w:r>
      <w:proofErr w:type="spellEnd"/>
      <w:r w:rsidRPr="007A423F">
        <w:t xml:space="preserve"> </w:t>
      </w:r>
      <w:proofErr w:type="spellStart"/>
      <w:r w:rsidRPr="007A423F">
        <w:t>for</w:t>
      </w:r>
      <w:proofErr w:type="spellEnd"/>
      <w:r w:rsidRPr="007A423F">
        <w:t xml:space="preserve"> </w:t>
      </w:r>
      <w:proofErr w:type="spellStart"/>
      <w:r w:rsidRPr="007A423F">
        <w:t>metering</w:t>
      </w:r>
      <w:proofErr w:type="spellEnd"/>
      <w:r w:rsidRPr="007A423F">
        <w:t xml:space="preserve"> </w:t>
      </w:r>
      <w:proofErr w:type="spellStart"/>
      <w:r w:rsidRPr="007A423F">
        <w:t>types</w:t>
      </w:r>
      <w:proofErr w:type="spellEnd"/>
      <w:r w:rsidRPr="007A423F">
        <w:t xml:space="preserve"> 0002 (</w:t>
      </w:r>
      <w:proofErr w:type="spellStart"/>
      <w:r w:rsidRPr="007A423F">
        <w:t>consumption</w:t>
      </w:r>
      <w:proofErr w:type="spellEnd"/>
      <w:r w:rsidRPr="007A423F">
        <w:t>) and 0001 (</w:t>
      </w:r>
      <w:proofErr w:type="spellStart"/>
      <w:r w:rsidRPr="007A423F">
        <w:t>production</w:t>
      </w:r>
      <w:proofErr w:type="spellEnd"/>
      <w:r w:rsidRPr="007A423F">
        <w:t>).</w:t>
      </w:r>
    </w:p>
    <w:p w14:paraId="6B0E8A5C" w14:textId="77777777" w:rsidR="00C812CE" w:rsidRDefault="00C43756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"</w:t>
      </w:r>
      <w:proofErr w:type="spellStart"/>
      <w:r w:rsidR="00947BFA" w:rsidRPr="007A423F">
        <w:t>measurement</w:t>
      </w:r>
      <w:proofErr w:type="spellEnd"/>
      <w:r w:rsidR="00947BFA" w:rsidRPr="007A423F">
        <w:t xml:space="preserve"> </w:t>
      </w:r>
      <w:proofErr w:type="spellStart"/>
      <w:r w:rsidR="00947BFA" w:rsidRPr="007A423F">
        <w:t>category</w:t>
      </w:r>
      <w:proofErr w:type="spellEnd"/>
      <w:r>
        <w:t xml:space="preserve">" </w:t>
      </w:r>
      <w:proofErr w:type="spellStart"/>
      <w:r w:rsidR="00947BFA" w:rsidRPr="007A423F">
        <w:t>will</w:t>
      </w:r>
      <w:proofErr w:type="spellEnd"/>
      <w:r w:rsidR="00947BFA" w:rsidRPr="007A423F">
        <w:t xml:space="preserve"> </w:t>
      </w:r>
      <w:proofErr w:type="spellStart"/>
      <w:r w:rsidR="00947BFA" w:rsidRPr="007A423F">
        <w:t>take</w:t>
      </w:r>
      <w:proofErr w:type="spellEnd"/>
      <w:r w:rsidR="00947BFA" w:rsidRPr="007A423F">
        <w:t xml:space="preserve"> on </w:t>
      </w:r>
      <w:proofErr w:type="spellStart"/>
      <w:r w:rsidR="00947BFA" w:rsidRPr="007A423F">
        <w:t>values</w:t>
      </w:r>
      <w:proofErr w:type="spellEnd"/>
      <w:r w:rsidR="00947BFA" w:rsidRPr="007A423F">
        <w:t>: C1, C2, C3, C4.</w:t>
      </w:r>
    </w:p>
    <w:p w14:paraId="27DEEC13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xsd</w:t>
      </w:r>
      <w:proofErr w:type="spellEnd"/>
      <w:r>
        <w:t xml:space="preserve"> MASTERDATA </w:t>
      </w:r>
      <w:proofErr w:type="spellStart"/>
      <w:r>
        <w:t>template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conditionally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category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423F" w14:paraId="7B8C0115" w14:textId="77777777" w:rsidTr="007A423F">
        <w:tc>
          <w:tcPr>
            <w:tcW w:w="2265" w:type="dxa"/>
          </w:tcPr>
          <w:p w14:paraId="2E136A19" w14:textId="77777777" w:rsidR="00C812CE" w:rsidRDefault="00947BFA">
            <w:pPr>
              <w:jc w:val="both"/>
            </w:pPr>
            <w:proofErr w:type="spellStart"/>
            <w:r>
              <w:lastRenderedPageBreak/>
              <w:t>Attribute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2265" w:type="dxa"/>
          </w:tcPr>
          <w:p w14:paraId="39DA08B7" w14:textId="77777777" w:rsidR="00C812CE" w:rsidRDefault="00947BFA">
            <w:pPr>
              <w:jc w:val="both"/>
            </w:pPr>
            <w:proofErr w:type="spellStart"/>
            <w:r>
              <w:t>Description</w:t>
            </w:r>
            <w:proofErr w:type="spellEnd"/>
          </w:p>
        </w:tc>
        <w:tc>
          <w:tcPr>
            <w:tcW w:w="2266" w:type="dxa"/>
          </w:tcPr>
          <w:p w14:paraId="7C8D20D4" w14:textId="77777777" w:rsidR="00C812CE" w:rsidRDefault="00947BFA">
            <w:pPr>
              <w:jc w:val="both"/>
            </w:pPr>
            <w:proofErr w:type="spellStart"/>
            <w:r>
              <w:t>Structure</w:t>
            </w:r>
            <w:proofErr w:type="spellEnd"/>
          </w:p>
        </w:tc>
        <w:tc>
          <w:tcPr>
            <w:tcW w:w="2266" w:type="dxa"/>
          </w:tcPr>
          <w:p w14:paraId="4D3168BD" w14:textId="77777777" w:rsidR="00C812CE" w:rsidRDefault="00947BFA">
            <w:pPr>
              <w:jc w:val="both"/>
            </w:pPr>
            <w:proofErr w:type="spellStart"/>
            <w:r>
              <w:t>Listing</w:t>
            </w:r>
            <w:proofErr w:type="spellEnd"/>
            <w:r>
              <w:t xml:space="preserve"> of </w:t>
            </w:r>
            <w:proofErr w:type="spellStart"/>
            <w:r>
              <w:t>values</w:t>
            </w:r>
            <w:proofErr w:type="spellEnd"/>
          </w:p>
        </w:tc>
      </w:tr>
      <w:tr w:rsidR="007A423F" w14:paraId="3E3597EF" w14:textId="77777777" w:rsidTr="007A423F">
        <w:tc>
          <w:tcPr>
            <w:tcW w:w="2265" w:type="dxa"/>
          </w:tcPr>
          <w:p w14:paraId="45128E72" w14:textId="77777777" w:rsidR="00C812CE" w:rsidRDefault="00947BFA">
            <w:pPr>
              <w:jc w:val="both"/>
            </w:pPr>
            <w:proofErr w:type="spellStart"/>
            <w:r>
              <w:t>katm</w:t>
            </w:r>
            <w:proofErr w:type="spellEnd"/>
          </w:p>
        </w:tc>
        <w:tc>
          <w:tcPr>
            <w:tcW w:w="2265" w:type="dxa"/>
          </w:tcPr>
          <w:p w14:paraId="73EF8327" w14:textId="77777777" w:rsidR="00C812CE" w:rsidRDefault="00947BFA">
            <w:pPr>
              <w:jc w:val="both"/>
            </w:pP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category</w:t>
            </w:r>
            <w:proofErr w:type="spellEnd"/>
          </w:p>
        </w:tc>
        <w:tc>
          <w:tcPr>
            <w:tcW w:w="2266" w:type="dxa"/>
          </w:tcPr>
          <w:p w14:paraId="468763E8" w14:textId="77777777" w:rsidR="00C812CE" w:rsidRDefault="00947BFA">
            <w:pPr>
              <w:jc w:val="both"/>
            </w:pPr>
            <w:proofErr w:type="spellStart"/>
            <w:r>
              <w:t>dial</w:t>
            </w:r>
            <w:proofErr w:type="spellEnd"/>
          </w:p>
        </w:tc>
        <w:tc>
          <w:tcPr>
            <w:tcW w:w="2266" w:type="dxa"/>
          </w:tcPr>
          <w:p w14:paraId="5310951F" w14:textId="77777777" w:rsidR="00C812CE" w:rsidRDefault="00947BFA">
            <w:pPr>
              <w:jc w:val="both"/>
            </w:pPr>
            <w:r>
              <w:t>C1, C2, C3, C4</w:t>
            </w:r>
          </w:p>
        </w:tc>
      </w:tr>
    </w:tbl>
    <w:p w14:paraId="29128537" w14:textId="77777777" w:rsidR="007A423F" w:rsidRDefault="007A423F" w:rsidP="00E75578">
      <w:pPr>
        <w:jc w:val="both"/>
      </w:pPr>
    </w:p>
    <w:p w14:paraId="468D5D35" w14:textId="77777777" w:rsidR="00C812CE" w:rsidRDefault="00947BFA">
      <w:pPr>
        <w:jc w:val="both"/>
        <w:rPr>
          <w:u w:val="single"/>
        </w:rPr>
      </w:pPr>
      <w:proofErr w:type="spellStart"/>
      <w:r>
        <w:t>The</w:t>
      </w:r>
      <w:proofErr w:type="spellEnd"/>
      <w:r>
        <w:t xml:space="preserve"> DSO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 w:rsidR="007A423F">
        <w:t>indicate</w:t>
      </w:r>
      <w:proofErr w:type="spellEnd"/>
      <w:r w:rsidR="007A423F">
        <w:t xml:space="preserve"> </w:t>
      </w:r>
      <w:proofErr w:type="spellStart"/>
      <w:r w:rsidR="007A423F">
        <w:t>the</w:t>
      </w:r>
      <w:proofErr w:type="spellEnd"/>
      <w:r w:rsidR="007A423F">
        <w:t xml:space="preserve"> </w:t>
      </w:r>
      <w:proofErr w:type="spellStart"/>
      <w:r>
        <w:t>attribute</w:t>
      </w:r>
      <w:proofErr w:type="spellEnd"/>
      <w:r>
        <w:t xml:space="preserve"> "</w:t>
      </w:r>
      <w:proofErr w:type="spellStart"/>
      <w:r>
        <w:t>metering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" in </w:t>
      </w:r>
      <w:proofErr w:type="spellStart"/>
      <w:r w:rsidR="007A423F">
        <w:t>all</w:t>
      </w:r>
      <w:proofErr w:type="spellEnd"/>
      <w:r w:rsidR="007A423F">
        <w:t xml:space="preserve"> </w:t>
      </w:r>
      <w:proofErr w:type="spellStart"/>
      <w:r w:rsidR="007A423F">
        <w:t>registration</w:t>
      </w:r>
      <w:proofErr w:type="spellEnd"/>
      <w:r w:rsidR="007A423F">
        <w:t xml:space="preserve"> </w:t>
      </w:r>
      <w:proofErr w:type="spellStart"/>
      <w:r w:rsidR="007A423F">
        <w:t>reports</w:t>
      </w:r>
      <w:proofErr w:type="spellEnd"/>
      <w:r w:rsidR="007A423F">
        <w:t xml:space="preserve"> </w:t>
      </w:r>
      <w:proofErr w:type="spellStart"/>
      <w:r w:rsidR="007A423F">
        <w:t>where</w:t>
      </w:r>
      <w:proofErr w:type="spellEnd"/>
      <w:r w:rsidR="007A423F">
        <w:t xml:space="preserve"> </w:t>
      </w:r>
      <w:proofErr w:type="spellStart"/>
      <w:r w:rsidR="007A423F">
        <w:t>the</w:t>
      </w:r>
      <w:proofErr w:type="spellEnd"/>
      <w:r w:rsidR="007A423F">
        <w:t xml:space="preserve"> report </w:t>
      </w:r>
      <w:proofErr w:type="spellStart"/>
      <w:r w:rsidR="007A423F">
        <w:t>indicates</w:t>
      </w:r>
      <w:proofErr w:type="spellEnd"/>
      <w:r w:rsidR="007A423F">
        <w:t xml:space="preserve"> </w:t>
      </w:r>
      <w:proofErr w:type="spellStart"/>
      <w:r w:rsidR="007A423F">
        <w:t>metering</w:t>
      </w:r>
      <w:proofErr w:type="spellEnd"/>
      <w:r w:rsidR="007A423F">
        <w:t xml:space="preserve"> type C. </w:t>
      </w:r>
      <w:proofErr w:type="spellStart"/>
      <w:r w:rsidR="007A423F">
        <w:t>The</w:t>
      </w:r>
      <w:proofErr w:type="spellEnd"/>
      <w:r w:rsidR="007A423F">
        <w:t xml:space="preserve"> </w:t>
      </w:r>
      <w:proofErr w:type="spellStart"/>
      <w:r w:rsidR="007A423F">
        <w:t>attribute</w:t>
      </w:r>
      <w:proofErr w:type="spellEnd"/>
      <w:r w:rsidR="007A423F">
        <w:t xml:space="preserve"> </w:t>
      </w:r>
      <w:proofErr w:type="spellStart"/>
      <w:r w:rsidR="007A423F">
        <w:t>will</w:t>
      </w:r>
      <w:proofErr w:type="spellEnd"/>
      <w:r w:rsidR="007A423F">
        <w:t xml:space="preserve"> </w:t>
      </w:r>
      <w:proofErr w:type="spellStart"/>
      <w:r w:rsidR="007A423F">
        <w:t>be</w:t>
      </w:r>
      <w:proofErr w:type="spellEnd"/>
      <w:r w:rsidR="007A423F">
        <w:t xml:space="preserve"> </w:t>
      </w:r>
      <w:proofErr w:type="spellStart"/>
      <w:r w:rsidR="007A423F">
        <w:t>prohibited</w:t>
      </w:r>
      <w:proofErr w:type="spellEnd"/>
      <w:r w:rsidR="007A423F">
        <w:t xml:space="preserve"> </w:t>
      </w:r>
      <w:proofErr w:type="spellStart"/>
      <w:r w:rsidR="007A423F">
        <w:t>if</w:t>
      </w:r>
      <w:proofErr w:type="spellEnd"/>
      <w:r w:rsidR="007A423F">
        <w:t xml:space="preserve"> </w:t>
      </w:r>
      <w:proofErr w:type="spellStart"/>
      <w:r w:rsidR="007A423F">
        <w:t>the</w:t>
      </w:r>
      <w:proofErr w:type="spellEnd"/>
      <w:r w:rsidR="007A423F">
        <w:t xml:space="preserve"> </w:t>
      </w:r>
      <w:proofErr w:type="spellStart"/>
      <w:r w:rsidR="007A423F">
        <w:t>measurement</w:t>
      </w:r>
      <w:proofErr w:type="spellEnd"/>
      <w:r w:rsidR="007A423F">
        <w:t xml:space="preserve"> type </w:t>
      </w:r>
      <w:proofErr w:type="spellStart"/>
      <w:r w:rsidR="007A423F">
        <w:t>is</w:t>
      </w:r>
      <w:proofErr w:type="spellEnd"/>
      <w:r w:rsidR="007A423F">
        <w:t xml:space="preserve"> </w:t>
      </w:r>
      <w:proofErr w:type="spellStart"/>
      <w:r w:rsidR="007A423F">
        <w:t>different</w:t>
      </w:r>
      <w:proofErr w:type="spellEnd"/>
      <w:r w:rsidR="007A423F">
        <w:t xml:space="preserve"> </w:t>
      </w:r>
      <w:proofErr w:type="spellStart"/>
      <w:r w:rsidR="007A423F">
        <w:t>from</w:t>
      </w:r>
      <w:proofErr w:type="spellEnd"/>
      <w:r w:rsidR="007A423F">
        <w:t xml:space="preserve"> C. </w:t>
      </w:r>
      <w:proofErr w:type="spellStart"/>
      <w:r w:rsidR="007A423F">
        <w:t>The</w:t>
      </w:r>
      <w:proofErr w:type="spellEnd"/>
      <w:r w:rsidR="007A423F">
        <w:t xml:space="preserve"> </w:t>
      </w:r>
      <w:proofErr w:type="spellStart"/>
      <w:r w:rsidRPr="00C43756">
        <w:rPr>
          <w:u w:val="single"/>
        </w:rPr>
        <w:t>obligation</w:t>
      </w:r>
      <w:proofErr w:type="spellEnd"/>
      <w:r w:rsidRPr="00C43756">
        <w:rPr>
          <w:u w:val="single"/>
        </w:rPr>
        <w:t xml:space="preserve"> to </w:t>
      </w:r>
      <w:proofErr w:type="spellStart"/>
      <w:r w:rsidRPr="00C43756">
        <w:rPr>
          <w:u w:val="single"/>
        </w:rPr>
        <w:t>provide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an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estimate</w:t>
      </w:r>
      <w:proofErr w:type="spellEnd"/>
      <w:r w:rsidRPr="00C43756">
        <w:rPr>
          <w:u w:val="single"/>
        </w:rPr>
        <w:t xml:space="preserve"> of </w:t>
      </w:r>
      <w:proofErr w:type="spellStart"/>
      <w:r w:rsidRPr="00C43756">
        <w:rPr>
          <w:u w:val="single"/>
        </w:rPr>
        <w:t>the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annual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consumption</w:t>
      </w:r>
      <w:proofErr w:type="spellEnd"/>
      <w:r w:rsidRPr="00C43756">
        <w:rPr>
          <w:u w:val="single"/>
        </w:rPr>
        <w:t xml:space="preserve"> (</w:t>
      </w:r>
      <w:proofErr w:type="spellStart"/>
      <w:r w:rsidRPr="00C43756">
        <w:rPr>
          <w:u w:val="single"/>
        </w:rPr>
        <w:t>regardless</w:t>
      </w:r>
      <w:proofErr w:type="spellEnd"/>
      <w:r w:rsidRPr="00C43756">
        <w:rPr>
          <w:u w:val="single"/>
        </w:rPr>
        <w:t xml:space="preserve"> of </w:t>
      </w:r>
      <w:proofErr w:type="spellStart"/>
      <w:r w:rsidRPr="00C43756">
        <w:rPr>
          <w:u w:val="single"/>
        </w:rPr>
        <w:t>whether</w:t>
      </w:r>
      <w:proofErr w:type="spellEnd"/>
      <w:r w:rsidRPr="00C43756">
        <w:rPr>
          <w:u w:val="single"/>
        </w:rPr>
        <w:t xml:space="preserve">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metering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category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is</w:t>
      </w:r>
      <w:proofErr w:type="spellEnd"/>
      <w:r>
        <w:rPr>
          <w:u w:val="single"/>
        </w:rPr>
        <w:t xml:space="preserve"> C1, C2, C3 </w:t>
      </w:r>
      <w:proofErr w:type="spellStart"/>
      <w:r>
        <w:rPr>
          <w:u w:val="single"/>
        </w:rPr>
        <w:t>or</w:t>
      </w:r>
      <w:proofErr w:type="spellEnd"/>
      <w:r>
        <w:rPr>
          <w:u w:val="single"/>
        </w:rPr>
        <w:t xml:space="preserve"> C4) </w:t>
      </w:r>
      <w:proofErr w:type="spellStart"/>
      <w:r w:rsidRPr="00C43756">
        <w:rPr>
          <w:u w:val="single"/>
        </w:rPr>
        <w:t>at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each</w:t>
      </w:r>
      <w:proofErr w:type="spellEnd"/>
      <w:r w:rsidRPr="00C43756">
        <w:rPr>
          <w:u w:val="single"/>
        </w:rPr>
        <w:t xml:space="preserve"> update of </w:t>
      </w:r>
      <w:proofErr w:type="spellStart"/>
      <w:r w:rsidRPr="00C43756">
        <w:rPr>
          <w:u w:val="single"/>
        </w:rPr>
        <w:t>the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technical</w:t>
      </w:r>
      <w:proofErr w:type="spellEnd"/>
      <w:r w:rsidRPr="00C43756">
        <w:rPr>
          <w:u w:val="single"/>
        </w:rPr>
        <w:t xml:space="preserve"> master data of a </w:t>
      </w:r>
      <w:proofErr w:type="spellStart"/>
      <w:r w:rsidRPr="00C43756">
        <w:rPr>
          <w:u w:val="single"/>
        </w:rPr>
        <w:t>metering</w:t>
      </w:r>
      <w:proofErr w:type="spellEnd"/>
      <w:r w:rsidRPr="00C43756">
        <w:rPr>
          <w:u w:val="single"/>
        </w:rPr>
        <w:t xml:space="preserve"> point </w:t>
      </w:r>
      <w:proofErr w:type="spellStart"/>
      <w:r w:rsidRPr="00C43756">
        <w:rPr>
          <w:u w:val="single"/>
        </w:rPr>
        <w:t>with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metering</w:t>
      </w:r>
      <w:proofErr w:type="spellEnd"/>
      <w:r w:rsidRPr="00C43756">
        <w:rPr>
          <w:u w:val="single"/>
        </w:rPr>
        <w:t xml:space="preserve"> type C </w:t>
      </w:r>
      <w:proofErr w:type="spellStart"/>
      <w:r w:rsidRPr="00C43756">
        <w:rPr>
          <w:u w:val="single"/>
        </w:rPr>
        <w:t>will</w:t>
      </w:r>
      <w:proofErr w:type="spellEnd"/>
      <w:r w:rsidRPr="00C43756">
        <w:rPr>
          <w:u w:val="single"/>
        </w:rPr>
        <w:t xml:space="preserve"> </w:t>
      </w:r>
      <w:proofErr w:type="spellStart"/>
      <w:r w:rsidRPr="00C43756">
        <w:rPr>
          <w:u w:val="single"/>
        </w:rPr>
        <w:t>remain</w:t>
      </w:r>
      <w:proofErr w:type="spellEnd"/>
      <w:r w:rsidRPr="00C43756">
        <w:rPr>
          <w:u w:val="single"/>
        </w:rPr>
        <w:t>.</w:t>
      </w:r>
    </w:p>
    <w:p w14:paraId="383D8602" w14:textId="7DAEBB33" w:rsidR="00C812CE" w:rsidRDefault="00AB27DD">
      <w:pPr>
        <w:jc w:val="both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r w:rsidR="00947BFA">
        <w:t xml:space="preserve">OTE </w:t>
      </w:r>
      <w:proofErr w:type="spellStart"/>
      <w:r w:rsidR="00947BFA">
        <w:t>portal</w:t>
      </w:r>
      <w:proofErr w:type="spellEnd"/>
      <w:r w:rsidR="00947BFA">
        <w:t xml:space="preserve">, </w:t>
      </w:r>
      <w:proofErr w:type="spellStart"/>
      <w:r w:rsidR="00947BFA">
        <w:t>the</w:t>
      </w:r>
      <w:proofErr w:type="spellEnd"/>
      <w:r w:rsidR="00947BFA">
        <w:t xml:space="preserve"> </w:t>
      </w:r>
      <w:r w:rsidR="00947BFA" w:rsidRPr="00C43756">
        <w:rPr>
          <w:b/>
          <w:bCs/>
        </w:rPr>
        <w:t>CDS</w:t>
      </w:r>
      <w:proofErr w:type="gramStart"/>
      <w:r w:rsidR="00947BFA" w:rsidRPr="00C43756">
        <w:rPr>
          <w:b/>
          <w:bCs/>
        </w:rPr>
        <w:t>-&gt;OPM</w:t>
      </w:r>
      <w:proofErr w:type="gramEnd"/>
      <w:r w:rsidR="00947BFA" w:rsidRPr="00C43756">
        <w:rPr>
          <w:b/>
          <w:bCs/>
        </w:rPr>
        <w:t xml:space="preserve">-&gt;OPM </w:t>
      </w:r>
      <w:proofErr w:type="spellStart"/>
      <w:r w:rsidR="00947BFA" w:rsidRPr="00C43756">
        <w:rPr>
          <w:b/>
          <w:bCs/>
        </w:rPr>
        <w:t>code</w:t>
      </w:r>
      <w:r w:rsidR="00CE520B">
        <w:rPr>
          <w:b/>
          <w:bCs/>
        </w:rPr>
        <w:t>list</w:t>
      </w:r>
      <w:proofErr w:type="spellEnd"/>
      <w:r w:rsidR="00947BFA" w:rsidRPr="00C43756">
        <w:rPr>
          <w:b/>
          <w:bCs/>
        </w:rPr>
        <w:t xml:space="preserve"> update </w:t>
      </w:r>
      <w:proofErr w:type="spellStart"/>
      <w:r w:rsidR="00947BFA">
        <w:t>section</w:t>
      </w:r>
      <w:proofErr w:type="spellEnd"/>
      <w:r w:rsidR="00947BFA">
        <w:t xml:space="preserve"> </w:t>
      </w:r>
      <w:proofErr w:type="spellStart"/>
      <w:r w:rsidR="00947BFA">
        <w:t>will</w:t>
      </w:r>
      <w:proofErr w:type="spellEnd"/>
      <w:r w:rsidR="00947BFA">
        <w:t xml:space="preserve"> </w:t>
      </w:r>
      <w:proofErr w:type="spellStart"/>
      <w:r w:rsidR="00947BFA">
        <w:t>be</w:t>
      </w:r>
      <w:proofErr w:type="spellEnd"/>
      <w:r w:rsidR="00947BFA">
        <w:t xml:space="preserve"> </w:t>
      </w:r>
      <w:proofErr w:type="spellStart"/>
      <w:r w:rsidR="00947BFA">
        <w:t>extended</w:t>
      </w:r>
      <w:proofErr w:type="spellEnd"/>
      <w:r w:rsidR="00947BFA">
        <w:t xml:space="preserve"> </w:t>
      </w:r>
      <w:proofErr w:type="spellStart"/>
      <w:r w:rsidR="00947BFA">
        <w:t>with</w:t>
      </w:r>
      <w:proofErr w:type="spellEnd"/>
      <w:r w:rsidR="00947BFA">
        <w:t xml:space="preserve"> a </w:t>
      </w:r>
      <w:proofErr w:type="spellStart"/>
      <w:r w:rsidR="00947BFA">
        <w:t>new</w:t>
      </w:r>
      <w:proofErr w:type="spellEnd"/>
      <w:r w:rsidR="00947BFA">
        <w:t xml:space="preserve"> </w:t>
      </w:r>
      <w:proofErr w:type="spellStart"/>
      <w:r w:rsidR="00947BFA">
        <w:t>entry</w:t>
      </w:r>
      <w:proofErr w:type="spellEnd"/>
      <w:r w:rsidR="00947BFA">
        <w:t xml:space="preserve"> "</w:t>
      </w:r>
      <w:proofErr w:type="spellStart"/>
      <w:r w:rsidR="00947BFA">
        <w:t>measurement</w:t>
      </w:r>
      <w:proofErr w:type="spellEnd"/>
      <w:r w:rsidR="00947BFA">
        <w:t xml:space="preserve"> </w:t>
      </w:r>
      <w:proofErr w:type="spellStart"/>
      <w:r w:rsidR="00947BFA">
        <w:t>category</w:t>
      </w:r>
      <w:proofErr w:type="spellEnd"/>
      <w:r w:rsidR="00947BFA">
        <w:t xml:space="preserve">". </w:t>
      </w:r>
      <w:proofErr w:type="spellStart"/>
      <w:r w:rsidR="00947BFA">
        <w:t>This</w:t>
      </w:r>
      <w:proofErr w:type="spellEnd"/>
      <w:r w:rsidR="00947BFA">
        <w:t xml:space="preserve"> </w:t>
      </w:r>
      <w:proofErr w:type="spellStart"/>
      <w:r w:rsidR="00947BFA">
        <w:t>item</w:t>
      </w:r>
      <w:proofErr w:type="spellEnd"/>
      <w:r w:rsidR="00947BFA">
        <w:t xml:space="preserve"> </w:t>
      </w:r>
      <w:proofErr w:type="spellStart"/>
      <w:r w:rsidR="00947BFA">
        <w:t>will</w:t>
      </w:r>
      <w:proofErr w:type="spellEnd"/>
      <w:r w:rsidR="00947BFA">
        <w:t xml:space="preserve"> </w:t>
      </w:r>
      <w:proofErr w:type="spellStart"/>
      <w:r w:rsidR="00947BFA">
        <w:t>be</w:t>
      </w:r>
      <w:proofErr w:type="spellEnd"/>
      <w:r w:rsidR="00947BFA">
        <w:t xml:space="preserve"> </w:t>
      </w:r>
      <w:proofErr w:type="spellStart"/>
      <w:r w:rsidR="00947BFA">
        <w:t>extended</w:t>
      </w:r>
      <w:proofErr w:type="spellEnd"/>
      <w:r w:rsidR="00947BFA">
        <w:t xml:space="preserve"> to </w:t>
      </w:r>
      <w:proofErr w:type="spellStart"/>
      <w:r w:rsidR="00947BFA">
        <w:t>include</w:t>
      </w:r>
      <w:proofErr w:type="spellEnd"/>
      <w:r w:rsidR="00947BFA">
        <w:t xml:space="preserve"> </w:t>
      </w:r>
      <w:proofErr w:type="spellStart"/>
      <w:r w:rsidR="00947BFA">
        <w:t>the</w:t>
      </w:r>
      <w:proofErr w:type="spellEnd"/>
      <w:r w:rsidR="00947BFA">
        <w:t xml:space="preserve"> master data </w:t>
      </w:r>
      <w:proofErr w:type="spellStart"/>
      <w:r w:rsidR="00947BFA">
        <w:t>dump</w:t>
      </w:r>
      <w:proofErr w:type="spellEnd"/>
      <w:r w:rsidR="00947BFA">
        <w:t xml:space="preserve"> and export to excel.</w:t>
      </w:r>
    </w:p>
    <w:p w14:paraId="2B4AC6B5" w14:textId="77777777" w:rsidR="003E4398" w:rsidRDefault="003E4398" w:rsidP="00E75578">
      <w:pPr>
        <w:jc w:val="both"/>
      </w:pPr>
    </w:p>
    <w:p w14:paraId="6EB5C845" w14:textId="77777777" w:rsidR="00C812CE" w:rsidRDefault="00947BFA">
      <w:pPr>
        <w:pStyle w:val="Nadpis3"/>
        <w:jc w:val="both"/>
        <w:rPr>
          <w:b/>
          <w:bCs/>
        </w:rPr>
      </w:pPr>
      <w:bookmarkStart w:id="6" w:name="_Toc164159258"/>
      <w:proofErr w:type="spellStart"/>
      <w:r w:rsidRPr="00C43756">
        <w:rPr>
          <w:b/>
          <w:bCs/>
        </w:rPr>
        <w:t>Types</w:t>
      </w:r>
      <w:proofErr w:type="spellEnd"/>
      <w:r w:rsidRPr="00C43756">
        <w:rPr>
          <w:b/>
          <w:bCs/>
        </w:rPr>
        <w:t xml:space="preserve"> of </w:t>
      </w:r>
      <w:proofErr w:type="spellStart"/>
      <w:r w:rsidRPr="00C43756">
        <w:rPr>
          <w:b/>
          <w:bCs/>
        </w:rPr>
        <w:t>measurement</w:t>
      </w:r>
      <w:proofErr w:type="spellEnd"/>
      <w:r w:rsidRPr="00C43756">
        <w:rPr>
          <w:b/>
          <w:bCs/>
        </w:rPr>
        <w:t xml:space="preserve"> </w:t>
      </w:r>
      <w:proofErr w:type="spellStart"/>
      <w:r w:rsidRPr="00C43756">
        <w:rPr>
          <w:b/>
          <w:bCs/>
        </w:rPr>
        <w:t>categories</w:t>
      </w:r>
      <w:proofErr w:type="spellEnd"/>
      <w:r w:rsidRPr="00C43756">
        <w:rPr>
          <w:b/>
          <w:bCs/>
        </w:rPr>
        <w:t xml:space="preserve"> C</w:t>
      </w:r>
      <w:bookmarkEnd w:id="6"/>
    </w:p>
    <w:p w14:paraId="4ED0F9F3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C1, C2 and C3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are </w:t>
      </w:r>
      <w:proofErr w:type="spellStart"/>
      <w:r w:rsidR="00C43756">
        <w:t>considered</w:t>
      </w:r>
      <w:proofErr w:type="spellEnd"/>
      <w:r w:rsidR="00C43756">
        <w:t xml:space="preserve"> </w:t>
      </w:r>
      <w:r>
        <w:t xml:space="preserve">as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OTE </w:t>
      </w:r>
      <w:proofErr w:type="spellStart"/>
      <w:r>
        <w:t>system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profile </w:t>
      </w:r>
      <w:proofErr w:type="spellStart"/>
      <w:r>
        <w:t>values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</w:t>
      </w:r>
      <w:proofErr w:type="spellStart"/>
      <w:r w:rsidR="00C43756">
        <w:t>generated</w:t>
      </w:r>
      <w:proofErr w:type="spellEnd"/>
      <w:r w:rsidR="00C43756">
        <w:t xml:space="preserve"> </w:t>
      </w:r>
      <w:proofErr w:type="spellStart"/>
      <w:r>
        <w:t>for</w:t>
      </w:r>
      <w:proofErr w:type="spellEnd"/>
      <w:r>
        <w:t xml:space="preserve"> Type B </w:t>
      </w:r>
      <w:proofErr w:type="spellStart"/>
      <w:r>
        <w:t>measurements</w:t>
      </w:r>
      <w:proofErr w:type="spellEnd"/>
      <w:r w:rsidR="00AB27DD">
        <w:t>.</w:t>
      </w:r>
    </w:p>
    <w:p w14:paraId="4211B4EC" w14:textId="77777777" w:rsidR="00C812CE" w:rsidRDefault="00947BFA">
      <w:pPr>
        <w:jc w:val="both"/>
      </w:pPr>
      <w:proofErr w:type="spellStart"/>
      <w:r>
        <w:t>Measurement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C4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as a non-</w:t>
      </w:r>
      <w:proofErr w:type="spellStart"/>
      <w:r>
        <w:t>continuous</w:t>
      </w:r>
      <w:proofErr w:type="spellEnd"/>
      <w:r>
        <w:t xml:space="preserve"> </w:t>
      </w:r>
      <w:proofErr w:type="spellStart"/>
      <w:r w:rsidR="00C43756">
        <w:t>measurement</w:t>
      </w:r>
      <w:proofErr w:type="spellEnd"/>
      <w:r w:rsidR="00C43756">
        <w:t xml:space="preserve"> </w:t>
      </w:r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</w:t>
      </w:r>
      <w:r w:rsidR="00C43756">
        <w:t xml:space="preserve">in CS OTE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type C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1.7.2024</w:t>
      </w:r>
      <w:r w:rsidR="00AB27DD">
        <w:t>.</w:t>
      </w:r>
    </w:p>
    <w:p w14:paraId="3C568CD0" w14:textId="77777777" w:rsidR="00E55010" w:rsidRDefault="00E55010" w:rsidP="00E75578">
      <w:pPr>
        <w:jc w:val="both"/>
      </w:pPr>
    </w:p>
    <w:p w14:paraId="5F64E18D" w14:textId="77777777" w:rsidR="00C812CE" w:rsidRDefault="00947BFA">
      <w:pPr>
        <w:pStyle w:val="Nadpis3"/>
        <w:jc w:val="both"/>
        <w:rPr>
          <w:b/>
          <w:bCs/>
        </w:rPr>
      </w:pPr>
      <w:bookmarkStart w:id="7" w:name="_Toc164159259"/>
      <w:proofErr w:type="spellStart"/>
      <w:r w:rsidRPr="00C43756">
        <w:rPr>
          <w:b/>
          <w:bCs/>
        </w:rPr>
        <w:t>Initial</w:t>
      </w:r>
      <w:proofErr w:type="spellEnd"/>
      <w:r w:rsidRPr="00C43756">
        <w:rPr>
          <w:b/>
          <w:bCs/>
        </w:rPr>
        <w:t xml:space="preserve"> </w:t>
      </w:r>
      <w:proofErr w:type="spellStart"/>
      <w:r w:rsidRPr="00C43756">
        <w:rPr>
          <w:b/>
          <w:bCs/>
        </w:rPr>
        <w:t>setting</w:t>
      </w:r>
      <w:proofErr w:type="spellEnd"/>
      <w:r w:rsidRPr="00C43756">
        <w:rPr>
          <w:b/>
          <w:bCs/>
        </w:rPr>
        <w:t xml:space="preserve"> of </w:t>
      </w:r>
      <w:r w:rsidR="00C43756">
        <w:rPr>
          <w:b/>
          <w:bCs/>
        </w:rPr>
        <w:t xml:space="preserve">C4 </w:t>
      </w:r>
      <w:proofErr w:type="spellStart"/>
      <w:r w:rsidR="00C43756">
        <w:rPr>
          <w:b/>
          <w:bCs/>
        </w:rPr>
        <w:t>metering</w:t>
      </w:r>
      <w:proofErr w:type="spellEnd"/>
      <w:r w:rsidR="00C43756">
        <w:rPr>
          <w:b/>
          <w:bCs/>
        </w:rPr>
        <w:t xml:space="preserve"> </w:t>
      </w:r>
      <w:proofErr w:type="spellStart"/>
      <w:r w:rsidR="00C43756">
        <w:rPr>
          <w:b/>
          <w:bCs/>
        </w:rPr>
        <w:t>category</w:t>
      </w:r>
      <w:proofErr w:type="spellEnd"/>
      <w:r w:rsidR="00C43756">
        <w:rPr>
          <w:b/>
          <w:bCs/>
        </w:rPr>
        <w:t xml:space="preserve"> in CS OTE </w:t>
      </w:r>
      <w:r w:rsidRPr="00C43756">
        <w:rPr>
          <w:b/>
          <w:bCs/>
        </w:rPr>
        <w:t>as of 1.7.2024</w:t>
      </w:r>
      <w:bookmarkEnd w:id="7"/>
    </w:p>
    <w:p w14:paraId="3C2DBDD5" w14:textId="77777777" w:rsidR="00C812CE" w:rsidRDefault="00947BFA">
      <w:pPr>
        <w:jc w:val="both"/>
      </w:pPr>
      <w:proofErr w:type="spellStart"/>
      <w:r w:rsidRPr="009677F7">
        <w:rPr>
          <w:rFonts w:cs="Aptos"/>
          <w:color w:val="000000"/>
        </w:rPr>
        <w:t>For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all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OPMs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with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Metering</w:t>
      </w:r>
      <w:proofErr w:type="spellEnd"/>
      <w:r w:rsidRPr="009677F7">
        <w:rPr>
          <w:rFonts w:cs="Aptos"/>
          <w:color w:val="000000"/>
        </w:rPr>
        <w:t xml:space="preserve"> Type C, a </w:t>
      </w:r>
      <w:proofErr w:type="spellStart"/>
      <w:r w:rsidRPr="009677F7">
        <w:rPr>
          <w:rFonts w:cs="Aptos"/>
          <w:color w:val="000000"/>
        </w:rPr>
        <w:t>one-time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assignment</w:t>
      </w:r>
      <w:proofErr w:type="spellEnd"/>
      <w:r w:rsidRPr="009677F7">
        <w:rPr>
          <w:rFonts w:cs="Aptos"/>
          <w:color w:val="000000"/>
        </w:rPr>
        <w:t xml:space="preserve"> of </w:t>
      </w:r>
      <w:proofErr w:type="spellStart"/>
      <w:r w:rsidRPr="009677F7">
        <w:rPr>
          <w:rFonts w:cs="Aptos"/>
          <w:color w:val="000000"/>
        </w:rPr>
        <w:t>Metering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Category</w:t>
      </w:r>
      <w:proofErr w:type="spellEnd"/>
      <w:r w:rsidRPr="009677F7">
        <w:rPr>
          <w:rFonts w:cs="Aptos"/>
          <w:color w:val="000000"/>
        </w:rPr>
        <w:t xml:space="preserve"> C4 </w:t>
      </w:r>
      <w:proofErr w:type="spellStart"/>
      <w:r w:rsidRPr="009677F7">
        <w:rPr>
          <w:rFonts w:cs="Aptos"/>
          <w:color w:val="000000"/>
        </w:rPr>
        <w:t>will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be</w:t>
      </w:r>
      <w:proofErr w:type="spellEnd"/>
      <w:r w:rsidRPr="009677F7">
        <w:rPr>
          <w:rFonts w:cs="Aptos"/>
          <w:color w:val="000000"/>
        </w:rPr>
        <w:t xml:space="preserve"> made </w:t>
      </w:r>
      <w:proofErr w:type="spellStart"/>
      <w:r w:rsidRPr="009677F7">
        <w:rPr>
          <w:rFonts w:cs="Aptos"/>
          <w:color w:val="000000"/>
        </w:rPr>
        <w:t>from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the</w:t>
      </w:r>
      <w:proofErr w:type="spellEnd"/>
      <w:r w:rsidRPr="009677F7">
        <w:rPr>
          <w:rFonts w:cs="Aptos"/>
          <w:color w:val="000000"/>
        </w:rPr>
        <w:t xml:space="preserve"> </w:t>
      </w:r>
      <w:proofErr w:type="spellStart"/>
      <w:r w:rsidR="00C43756">
        <w:rPr>
          <w:rFonts w:cs="Aptos"/>
          <w:color w:val="000000"/>
        </w:rPr>
        <w:t>effective</w:t>
      </w:r>
      <w:proofErr w:type="spellEnd"/>
      <w:r w:rsidR="00C43756">
        <w:rPr>
          <w:rFonts w:cs="Aptos"/>
          <w:color w:val="000000"/>
        </w:rPr>
        <w:t xml:space="preserve"> </w:t>
      </w:r>
      <w:proofErr w:type="spellStart"/>
      <w:r w:rsidRPr="009677F7">
        <w:rPr>
          <w:rFonts w:cs="Aptos"/>
          <w:color w:val="000000"/>
        </w:rPr>
        <w:t>date</w:t>
      </w:r>
      <w:proofErr w:type="spellEnd"/>
      <w:r w:rsidRPr="009677F7">
        <w:rPr>
          <w:rFonts w:cs="Aptos"/>
          <w:color w:val="000000"/>
        </w:rPr>
        <w:t xml:space="preserve"> of 1 July 2024. </w:t>
      </w:r>
      <w:proofErr w:type="spellStart"/>
      <w:r>
        <w:rPr>
          <w:rFonts w:cs="Aptos"/>
          <w:color w:val="000000"/>
        </w:rPr>
        <w:t>This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assignment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will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take</w:t>
      </w:r>
      <w:proofErr w:type="spellEnd"/>
      <w:r>
        <w:rPr>
          <w:rFonts w:cs="Aptos"/>
          <w:color w:val="000000"/>
        </w:rPr>
        <w:t xml:space="preserve"> place in </w:t>
      </w:r>
      <w:proofErr w:type="spellStart"/>
      <w:r>
        <w:rPr>
          <w:rFonts w:cs="Aptos"/>
          <w:color w:val="000000"/>
        </w:rPr>
        <w:t>the</w:t>
      </w:r>
      <w:proofErr w:type="spellEnd"/>
      <w:r>
        <w:rPr>
          <w:rFonts w:cs="Aptos"/>
          <w:color w:val="000000"/>
        </w:rPr>
        <w:t xml:space="preserve"> OTE </w:t>
      </w:r>
      <w:proofErr w:type="spellStart"/>
      <w:r>
        <w:rPr>
          <w:rFonts w:cs="Aptos"/>
          <w:color w:val="000000"/>
        </w:rPr>
        <w:t>system</w:t>
      </w:r>
      <w:proofErr w:type="spellEnd"/>
      <w:r>
        <w:rPr>
          <w:rFonts w:cs="Aptos"/>
          <w:color w:val="000000"/>
        </w:rPr>
        <w:t xml:space="preserve"> in a </w:t>
      </w:r>
      <w:proofErr w:type="spellStart"/>
      <w:r>
        <w:rPr>
          <w:rFonts w:cs="Aptos"/>
          <w:color w:val="000000"/>
        </w:rPr>
        <w:t>one-time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process</w:t>
      </w:r>
      <w:proofErr w:type="spellEnd"/>
      <w:r>
        <w:rPr>
          <w:rFonts w:cs="Aptos"/>
          <w:color w:val="000000"/>
        </w:rPr>
        <w:t xml:space="preserve">. </w:t>
      </w:r>
      <w:proofErr w:type="spellStart"/>
      <w:r>
        <w:rPr>
          <w:rFonts w:cs="Aptos"/>
          <w:color w:val="000000"/>
        </w:rPr>
        <w:t>Participants</w:t>
      </w:r>
      <w:proofErr w:type="spellEnd"/>
      <w:r>
        <w:rPr>
          <w:rFonts w:cs="Aptos"/>
          <w:color w:val="000000"/>
        </w:rPr>
        <w:t xml:space="preserve"> are </w:t>
      </w:r>
      <w:proofErr w:type="spellStart"/>
      <w:r>
        <w:rPr>
          <w:rFonts w:cs="Aptos"/>
          <w:color w:val="000000"/>
        </w:rPr>
        <w:t>advised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that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they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need</w:t>
      </w:r>
      <w:proofErr w:type="spellEnd"/>
      <w:r>
        <w:rPr>
          <w:rFonts w:cs="Aptos"/>
          <w:color w:val="000000"/>
        </w:rPr>
        <w:t xml:space="preserve"> to </w:t>
      </w:r>
      <w:proofErr w:type="spellStart"/>
      <w:r>
        <w:rPr>
          <w:rFonts w:cs="Aptos"/>
          <w:color w:val="000000"/>
        </w:rPr>
        <w:t>implement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this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information</w:t>
      </w:r>
      <w:proofErr w:type="spellEnd"/>
      <w:r>
        <w:rPr>
          <w:rFonts w:cs="Aptos"/>
          <w:color w:val="000000"/>
        </w:rPr>
        <w:t xml:space="preserve"> in </w:t>
      </w:r>
      <w:proofErr w:type="spellStart"/>
      <w:r>
        <w:rPr>
          <w:rFonts w:cs="Aptos"/>
          <w:color w:val="000000"/>
        </w:rPr>
        <w:t>their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systems</w:t>
      </w:r>
      <w:proofErr w:type="spellEnd"/>
      <w:r>
        <w:rPr>
          <w:rFonts w:cs="Aptos"/>
          <w:color w:val="000000"/>
        </w:rPr>
        <w:t xml:space="preserve"> as no copy </w:t>
      </w:r>
      <w:proofErr w:type="spellStart"/>
      <w:r>
        <w:rPr>
          <w:rFonts w:cs="Aptos"/>
          <w:color w:val="000000"/>
        </w:rPr>
        <w:t>messages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will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be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sent</w:t>
      </w:r>
      <w:proofErr w:type="spellEnd"/>
      <w:r>
        <w:rPr>
          <w:rFonts w:cs="Aptos"/>
          <w:color w:val="000000"/>
        </w:rPr>
        <w:t xml:space="preserve"> to market </w:t>
      </w:r>
      <w:proofErr w:type="spellStart"/>
      <w:r>
        <w:rPr>
          <w:rFonts w:cs="Aptos"/>
          <w:color w:val="000000"/>
        </w:rPr>
        <w:t>participants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during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this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one-off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change</w:t>
      </w:r>
      <w:proofErr w:type="spellEnd"/>
      <w:r>
        <w:rPr>
          <w:rFonts w:cs="Aptos"/>
          <w:color w:val="000000"/>
        </w:rPr>
        <w:t>.</w:t>
      </w:r>
    </w:p>
    <w:p w14:paraId="41D86587" w14:textId="77777777" w:rsidR="007A423F" w:rsidRPr="007A423F" w:rsidRDefault="007A423F" w:rsidP="00E75578">
      <w:pPr>
        <w:jc w:val="both"/>
      </w:pPr>
    </w:p>
    <w:p w14:paraId="25BBBB05" w14:textId="77777777" w:rsidR="00C812CE" w:rsidRDefault="00947BFA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8" w:name="_Toc164159260"/>
      <w:proofErr w:type="spellStart"/>
      <w:r w:rsidRPr="00B00664">
        <w:rPr>
          <w:b/>
          <w:bCs/>
          <w:u w:val="single"/>
        </w:rPr>
        <w:t>Attribute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indicating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that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transfer point </w:t>
      </w:r>
      <w:proofErr w:type="spellStart"/>
      <w:r w:rsidRPr="00B00664">
        <w:rPr>
          <w:b/>
          <w:bCs/>
          <w:u w:val="single"/>
        </w:rPr>
        <w:t>is</w:t>
      </w:r>
      <w:proofErr w:type="spellEnd"/>
      <w:r w:rsidRPr="00B00664">
        <w:rPr>
          <w:b/>
          <w:bCs/>
          <w:u w:val="single"/>
        </w:rPr>
        <w:t xml:space="preserve"> part of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aggregation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block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for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provision</w:t>
      </w:r>
      <w:proofErr w:type="spellEnd"/>
      <w:r w:rsidRPr="00B00664">
        <w:rPr>
          <w:b/>
          <w:bCs/>
          <w:u w:val="single"/>
        </w:rPr>
        <w:t xml:space="preserve"> of SVR (</w:t>
      </w:r>
      <w:proofErr w:type="spellStart"/>
      <w:r w:rsidR="00AB27DD" w:rsidRPr="00B00664">
        <w:rPr>
          <w:b/>
          <w:bCs/>
          <w:u w:val="single"/>
        </w:rPr>
        <w:t>Decree</w:t>
      </w:r>
      <w:proofErr w:type="spellEnd"/>
      <w:r w:rsidR="00AB27DD" w:rsidRPr="00B00664">
        <w:rPr>
          <w:b/>
          <w:bCs/>
          <w:u w:val="single"/>
        </w:rPr>
        <w:t xml:space="preserve"> No. </w:t>
      </w:r>
      <w:r w:rsidRPr="00B00664">
        <w:rPr>
          <w:b/>
          <w:bCs/>
          <w:u w:val="single"/>
        </w:rPr>
        <w:t xml:space="preserve">408/2015 </w:t>
      </w:r>
      <w:proofErr w:type="spellStart"/>
      <w:r w:rsidRPr="00B00664">
        <w:rPr>
          <w:b/>
          <w:bCs/>
          <w:u w:val="single"/>
        </w:rPr>
        <w:t>Coll</w:t>
      </w:r>
      <w:proofErr w:type="spellEnd"/>
      <w:r w:rsidRPr="00B00664">
        <w:rPr>
          <w:b/>
          <w:bCs/>
          <w:u w:val="single"/>
        </w:rPr>
        <w:t xml:space="preserve">. and </w:t>
      </w:r>
      <w:proofErr w:type="spellStart"/>
      <w:r w:rsidRPr="00B00664">
        <w:rPr>
          <w:b/>
          <w:bCs/>
          <w:u w:val="single"/>
        </w:rPr>
        <w:t>conditions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for</w:t>
      </w:r>
      <w:proofErr w:type="spellEnd"/>
      <w:r w:rsidRPr="00B00664">
        <w:rPr>
          <w:b/>
          <w:bCs/>
          <w:u w:val="single"/>
        </w:rPr>
        <w:t xml:space="preserve"> EAN </w:t>
      </w:r>
      <w:proofErr w:type="spellStart"/>
      <w:r w:rsidRPr="00B00664">
        <w:rPr>
          <w:b/>
          <w:bCs/>
          <w:u w:val="single"/>
        </w:rPr>
        <w:t>entry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into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sharing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group</w:t>
      </w:r>
      <w:proofErr w:type="spellEnd"/>
      <w:r w:rsidRPr="00B00664">
        <w:rPr>
          <w:b/>
          <w:bCs/>
          <w:u w:val="single"/>
        </w:rPr>
        <w:t>)</w:t>
      </w:r>
      <w:bookmarkEnd w:id="8"/>
    </w:p>
    <w:p w14:paraId="2E027387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MASTERDATA </w:t>
      </w:r>
      <w:proofErr w:type="spellStart"/>
      <w:r>
        <w:t>template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informing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EAN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aggregation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SVR </w:t>
      </w:r>
      <w:proofErr w:type="spellStart"/>
      <w:r>
        <w:t>provision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to </w:t>
      </w:r>
      <w:proofErr w:type="spellStart"/>
      <w:r w:rsidR="00E67982">
        <w:t>the</w:t>
      </w:r>
      <w:proofErr w:type="spellEnd"/>
      <w:r w:rsidR="00E67982">
        <w:t xml:space="preserve"> </w:t>
      </w:r>
      <w:r>
        <w:t xml:space="preserve">EAN by </w:t>
      </w:r>
      <w:proofErr w:type="spellStart"/>
      <w:r>
        <w:t>the</w:t>
      </w:r>
      <w:proofErr w:type="spellEnd"/>
      <w:r>
        <w:t xml:space="preserve"> OTE </w:t>
      </w:r>
      <w:proofErr w:type="spellStart"/>
      <w:r>
        <w:t>system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TSO.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as part of </w:t>
      </w:r>
      <w:proofErr w:type="spellStart"/>
      <w:r>
        <w:t>the</w:t>
      </w:r>
      <w:proofErr w:type="spellEnd"/>
      <w:r>
        <w:t xml:space="preserve"> update of </w:t>
      </w:r>
      <w:proofErr w:type="spellStart"/>
      <w:r>
        <w:t>the</w:t>
      </w:r>
      <w:proofErr w:type="spellEnd"/>
      <w:r>
        <w:t xml:space="preserve"> master data by </w:t>
      </w:r>
      <w:proofErr w:type="spellStart"/>
      <w:r>
        <w:t>the</w:t>
      </w:r>
      <w:proofErr w:type="spellEnd"/>
      <w:r>
        <w:t xml:space="preserve"> </w:t>
      </w:r>
      <w:r w:rsidR="00C43756">
        <w:t>DSO/</w:t>
      </w:r>
      <w:proofErr w:type="spellStart"/>
      <w:r w:rsidR="00C43756">
        <w:t>transmission</w:t>
      </w:r>
      <w:proofErr w:type="spellEnd"/>
      <w:r w:rsidR="00C43756"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operator</w:t>
      </w:r>
      <w:proofErr w:type="spellEnd"/>
      <w:r w:rsidR="00DA61F8">
        <w:t xml:space="preserve">. </w:t>
      </w:r>
      <w:proofErr w:type="spellStart"/>
      <w:r w:rsidR="00DA61F8">
        <w:t>When</w:t>
      </w:r>
      <w:proofErr w:type="spellEnd"/>
      <w:r w:rsidR="00DA61F8">
        <w:t xml:space="preserve"> </w:t>
      </w:r>
      <w:proofErr w:type="spellStart"/>
      <w:r w:rsidR="00DA61F8">
        <w:t>this</w:t>
      </w:r>
      <w:proofErr w:type="spellEnd"/>
      <w:r w:rsidR="00DA61F8">
        <w:t xml:space="preserve"> </w:t>
      </w:r>
      <w:proofErr w:type="spellStart"/>
      <w:r w:rsidR="00DA61F8">
        <w:t>attribute</w:t>
      </w:r>
      <w:proofErr w:type="spellEnd"/>
      <w:r w:rsidR="00DA61F8">
        <w:t xml:space="preserve"> </w:t>
      </w:r>
      <w:proofErr w:type="spellStart"/>
      <w:r w:rsidR="00DA61F8">
        <w:t>is</w:t>
      </w:r>
      <w:proofErr w:type="spellEnd"/>
      <w:r w:rsidR="00DA61F8">
        <w:t xml:space="preserve"> </w:t>
      </w:r>
      <w:proofErr w:type="spellStart"/>
      <w:r w:rsidR="00DA61F8">
        <w:t>assigned</w:t>
      </w:r>
      <w:proofErr w:type="spellEnd"/>
      <w:r w:rsidR="00DA61F8">
        <w:t>/</w:t>
      </w:r>
      <w:proofErr w:type="spellStart"/>
      <w:r w:rsidR="00DA61F8">
        <w:t>removed</w:t>
      </w:r>
      <w:proofErr w:type="spellEnd"/>
      <w:r w:rsidR="00DA61F8">
        <w:t xml:space="preserve"> </w:t>
      </w:r>
      <w:r w:rsidR="00C43756">
        <w:t xml:space="preserve">in </w:t>
      </w:r>
      <w:proofErr w:type="spellStart"/>
      <w:r w:rsidR="00C43756">
        <w:t>the</w:t>
      </w:r>
      <w:proofErr w:type="spellEnd"/>
      <w:r w:rsidR="00C43756">
        <w:t xml:space="preserve"> OTE CS</w:t>
      </w:r>
      <w:r w:rsidR="00DA61F8">
        <w:t xml:space="preserve">, no </w:t>
      </w:r>
      <w:proofErr w:type="spellStart"/>
      <w:r w:rsidR="00DA61F8">
        <w:t>message</w:t>
      </w:r>
      <w:proofErr w:type="spellEnd"/>
      <w:r w:rsidR="00DA61F8">
        <w:t xml:space="preserve"> </w:t>
      </w:r>
      <w:proofErr w:type="spellStart"/>
      <w:r w:rsidR="00DA61F8">
        <w:t>with</w:t>
      </w:r>
      <w:proofErr w:type="spellEnd"/>
      <w:r w:rsidR="00DA61F8">
        <w:t xml:space="preserve"> a </w:t>
      </w:r>
      <w:proofErr w:type="spellStart"/>
      <w:r w:rsidR="00DA61F8">
        <w:t>description</w:t>
      </w:r>
      <w:proofErr w:type="spellEnd"/>
      <w:r w:rsidR="00DA61F8">
        <w:t xml:space="preserve"> of </w:t>
      </w:r>
      <w:proofErr w:type="spellStart"/>
      <w:r w:rsidR="00DA61F8">
        <w:t>the</w:t>
      </w:r>
      <w:proofErr w:type="spellEnd"/>
      <w:r w:rsidR="00DA61F8">
        <w:t xml:space="preserve"> master data </w:t>
      </w:r>
      <w:proofErr w:type="spellStart"/>
      <w:r w:rsidR="00DA61F8">
        <w:t>will</w:t>
      </w:r>
      <w:proofErr w:type="spellEnd"/>
      <w:r w:rsidR="00DA61F8">
        <w:t xml:space="preserve"> </w:t>
      </w:r>
      <w:proofErr w:type="spellStart"/>
      <w:r w:rsidR="00C43756">
        <w:t>be</w:t>
      </w:r>
      <w:proofErr w:type="spellEnd"/>
      <w:r w:rsidR="00C43756">
        <w:t xml:space="preserve"> </w:t>
      </w:r>
      <w:proofErr w:type="spellStart"/>
      <w:r w:rsidR="00C43756">
        <w:t>sent</w:t>
      </w:r>
      <w:proofErr w:type="spellEnd"/>
      <w:r w:rsidR="00C43756">
        <w:t xml:space="preserve"> </w:t>
      </w:r>
      <w:r w:rsidR="00DA61F8">
        <w:t xml:space="preserve">by </w:t>
      </w:r>
      <w:proofErr w:type="spellStart"/>
      <w:r w:rsidR="00DA61F8">
        <w:t>the</w:t>
      </w:r>
      <w:proofErr w:type="spellEnd"/>
      <w:r w:rsidR="00DA61F8">
        <w:t xml:space="preserve"> OTE </w:t>
      </w:r>
      <w:proofErr w:type="spellStart"/>
      <w:r w:rsidR="00DA61F8">
        <w:t>system</w:t>
      </w:r>
      <w:proofErr w:type="spellEnd"/>
      <w:r w:rsidR="00DA61F8">
        <w:t xml:space="preserve"> </w:t>
      </w:r>
      <w:r w:rsidR="00C43756">
        <w:t xml:space="preserve">to market </w:t>
      </w:r>
      <w:proofErr w:type="spellStart"/>
      <w:r w:rsidR="00C43756">
        <w:t>participants</w:t>
      </w:r>
      <w:proofErr w:type="spellEnd"/>
      <w:r w:rsidR="00E67982">
        <w:t>.</w:t>
      </w:r>
    </w:p>
    <w:p w14:paraId="2F16CB2D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impossibility</w:t>
      </w:r>
      <w:proofErr w:type="spellEnd"/>
      <w:r>
        <w:t xml:space="preserve"> of </w:t>
      </w:r>
      <w:proofErr w:type="spellStart"/>
      <w:r>
        <w:t>concurrent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power</w:t>
      </w:r>
      <w:proofErr w:type="spellEnd"/>
      <w:r>
        <w:t xml:space="preserve"> balance and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37CC" w14:paraId="1B9A24EC" w14:textId="77777777" w:rsidTr="00ED6946">
        <w:tc>
          <w:tcPr>
            <w:tcW w:w="3020" w:type="dxa"/>
          </w:tcPr>
          <w:p w14:paraId="187D3B9E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Attribute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name</w:t>
            </w:r>
            <w:proofErr w:type="spellEnd"/>
          </w:p>
        </w:tc>
        <w:tc>
          <w:tcPr>
            <w:tcW w:w="3021" w:type="dxa"/>
          </w:tcPr>
          <w:p w14:paraId="1764CDB4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Description</w:t>
            </w:r>
            <w:proofErr w:type="spellEnd"/>
          </w:p>
        </w:tc>
        <w:tc>
          <w:tcPr>
            <w:tcW w:w="3021" w:type="dxa"/>
          </w:tcPr>
          <w:p w14:paraId="113439CD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structure</w:t>
            </w:r>
            <w:proofErr w:type="spellEnd"/>
          </w:p>
        </w:tc>
      </w:tr>
      <w:tr w:rsidR="007D37CC" w14:paraId="6B9790B7" w14:textId="77777777" w:rsidTr="00ED6946">
        <w:tc>
          <w:tcPr>
            <w:tcW w:w="3020" w:type="dxa"/>
          </w:tcPr>
          <w:p w14:paraId="03873519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cert-svr</w:t>
            </w:r>
            <w:proofErr w:type="spellEnd"/>
          </w:p>
        </w:tc>
        <w:tc>
          <w:tcPr>
            <w:tcW w:w="3021" w:type="dxa"/>
          </w:tcPr>
          <w:p w14:paraId="750CBEDE" w14:textId="215AC98C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Flag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indicating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that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the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EAN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is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included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the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aggregation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block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for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SVR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provi</w:t>
            </w:r>
            <w:r w:rsidR="00CE520B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ding</w:t>
            </w:r>
            <w:proofErr w:type="spellEnd"/>
          </w:p>
        </w:tc>
        <w:tc>
          <w:tcPr>
            <w:tcW w:w="3021" w:type="dxa"/>
          </w:tcPr>
          <w:p w14:paraId="05035319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Boolean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(0/1)</w:t>
            </w:r>
          </w:p>
        </w:tc>
      </w:tr>
    </w:tbl>
    <w:p w14:paraId="3097A3E2" w14:textId="77777777" w:rsidR="007D37CC" w:rsidRDefault="007D37CC" w:rsidP="00E75578">
      <w:pPr>
        <w:jc w:val="both"/>
      </w:pPr>
    </w:p>
    <w:p w14:paraId="4476E20E" w14:textId="77777777" w:rsidR="00C812CE" w:rsidRDefault="00947BFA">
      <w:pPr>
        <w:jc w:val="both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in response to </w:t>
      </w:r>
      <w:proofErr w:type="spellStart"/>
      <w:r>
        <w:t>the</w:t>
      </w:r>
      <w:proofErr w:type="spellEnd"/>
      <w:r>
        <w:t xml:space="preserve"> OPM master data </w:t>
      </w:r>
      <w:proofErr w:type="spellStart"/>
      <w:r>
        <w:t>request</w:t>
      </w:r>
      <w:proofErr w:type="spellEnd"/>
      <w:r>
        <w:t xml:space="preserve"> (</w:t>
      </w:r>
      <w:proofErr w:type="spellStart"/>
      <w:r>
        <w:t>query</w:t>
      </w:r>
      <w:proofErr w:type="spellEnd"/>
      <w:r>
        <w:t xml:space="preserve"> 351</w:t>
      </w:r>
      <w:r w:rsidR="00C43756">
        <w:t xml:space="preserve">, </w:t>
      </w:r>
      <w:r>
        <w:t>response 353)</w:t>
      </w:r>
      <w:r w:rsidR="00E67982">
        <w:t>.</w:t>
      </w:r>
    </w:p>
    <w:p w14:paraId="1FCAFB78" w14:textId="77777777" w:rsidR="00C812CE" w:rsidRDefault="00E67982">
      <w:pPr>
        <w:jc w:val="both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r w:rsidR="00947BFA">
        <w:t xml:space="preserve">OTE </w:t>
      </w:r>
      <w:proofErr w:type="spellStart"/>
      <w:r w:rsidR="00947BFA">
        <w:t>portal</w:t>
      </w:r>
      <w:proofErr w:type="spellEnd"/>
      <w:r w:rsidR="00947BFA">
        <w:t xml:space="preserve">, in </w:t>
      </w:r>
      <w:proofErr w:type="spellStart"/>
      <w:r w:rsidR="00947BFA">
        <w:t>the</w:t>
      </w:r>
      <w:proofErr w:type="spellEnd"/>
      <w:r w:rsidR="00947BFA">
        <w:t xml:space="preserve"> </w:t>
      </w:r>
      <w:proofErr w:type="spellStart"/>
      <w:r w:rsidR="00947BFA">
        <w:t>section</w:t>
      </w:r>
      <w:proofErr w:type="spellEnd"/>
      <w:r w:rsidR="00947BFA">
        <w:t xml:space="preserve"> </w:t>
      </w:r>
      <w:r w:rsidR="00947BFA">
        <w:rPr>
          <w:rFonts w:cs="Aptos"/>
          <w:color w:val="000000"/>
        </w:rPr>
        <w:t xml:space="preserve">"OPM </w:t>
      </w:r>
      <w:proofErr w:type="spellStart"/>
      <w:r w:rsidR="00947BFA" w:rsidRPr="00E575AB">
        <w:rPr>
          <w:rFonts w:cs="Aptos"/>
          <w:color w:val="000000"/>
        </w:rPr>
        <w:t>codebook</w:t>
      </w:r>
      <w:proofErr w:type="spellEnd"/>
      <w:r w:rsidR="00947BFA" w:rsidRPr="00E575AB">
        <w:rPr>
          <w:rFonts w:cs="Aptos"/>
          <w:color w:val="000000"/>
        </w:rPr>
        <w:t xml:space="preserve"> update</w:t>
      </w:r>
      <w:r w:rsidR="00947BFA">
        <w:rPr>
          <w:rFonts w:cs="Aptos"/>
          <w:color w:val="000000"/>
        </w:rPr>
        <w:t xml:space="preserve">", a </w:t>
      </w:r>
      <w:proofErr w:type="spellStart"/>
      <w:r w:rsidR="00947BFA">
        <w:t>new</w:t>
      </w:r>
      <w:proofErr w:type="spellEnd"/>
      <w:r w:rsidR="00947BFA">
        <w:t xml:space="preserve"> non-</w:t>
      </w:r>
      <w:proofErr w:type="spellStart"/>
      <w:r w:rsidR="00947BFA">
        <w:t>editable</w:t>
      </w:r>
      <w:proofErr w:type="spellEnd"/>
      <w:r w:rsidR="00947BFA">
        <w:t xml:space="preserve"> </w:t>
      </w:r>
      <w:proofErr w:type="spellStart"/>
      <w:r w:rsidR="00947BFA">
        <w:t>entry</w:t>
      </w:r>
      <w:proofErr w:type="spellEnd"/>
      <w:r w:rsidR="00947BFA">
        <w:t xml:space="preserve"> "</w:t>
      </w:r>
      <w:r w:rsidR="00947BFA" w:rsidRPr="00C43756">
        <w:rPr>
          <w:b/>
          <w:bCs/>
        </w:rPr>
        <w:t xml:space="preserve">EAN </w:t>
      </w:r>
      <w:proofErr w:type="spellStart"/>
      <w:r w:rsidR="00947BFA" w:rsidRPr="00C43756">
        <w:rPr>
          <w:b/>
          <w:bCs/>
        </w:rPr>
        <w:t>is</w:t>
      </w:r>
      <w:proofErr w:type="spellEnd"/>
      <w:r w:rsidR="00947BFA" w:rsidRPr="00C43756">
        <w:rPr>
          <w:b/>
          <w:bCs/>
        </w:rPr>
        <w:t xml:space="preserve"> </w:t>
      </w:r>
      <w:proofErr w:type="spellStart"/>
      <w:r w:rsidR="00C43756">
        <w:rPr>
          <w:b/>
          <w:bCs/>
        </w:rPr>
        <w:t>certified</w:t>
      </w:r>
      <w:proofErr w:type="spellEnd"/>
      <w:r w:rsidR="00C43756">
        <w:rPr>
          <w:b/>
          <w:bCs/>
        </w:rPr>
        <w:t xml:space="preserve"> </w:t>
      </w:r>
      <w:proofErr w:type="spellStart"/>
      <w:r w:rsidR="00947BFA" w:rsidRPr="00C43756">
        <w:rPr>
          <w:b/>
          <w:bCs/>
        </w:rPr>
        <w:t>for</w:t>
      </w:r>
      <w:proofErr w:type="spellEnd"/>
      <w:r w:rsidR="00947BFA" w:rsidRPr="00C43756">
        <w:rPr>
          <w:b/>
          <w:bCs/>
        </w:rPr>
        <w:t xml:space="preserve"> SVR</w:t>
      </w:r>
      <w:r w:rsidR="00947BFA">
        <w:t xml:space="preserve">" </w:t>
      </w:r>
      <w:proofErr w:type="spellStart"/>
      <w:r w:rsidR="00947BFA">
        <w:t>will</w:t>
      </w:r>
      <w:proofErr w:type="spellEnd"/>
      <w:r w:rsidR="00947BFA">
        <w:t xml:space="preserve"> </w:t>
      </w:r>
      <w:proofErr w:type="spellStart"/>
      <w:r w:rsidR="00947BFA">
        <w:t>be</w:t>
      </w:r>
      <w:proofErr w:type="spellEnd"/>
      <w:r w:rsidR="00947BFA">
        <w:t xml:space="preserve"> </w:t>
      </w:r>
      <w:proofErr w:type="spellStart"/>
      <w:r w:rsidR="00C43756">
        <w:t>added</w:t>
      </w:r>
      <w:proofErr w:type="spellEnd"/>
      <w:r w:rsidR="00947BFA">
        <w:t xml:space="preserve"> to </w:t>
      </w:r>
      <w:proofErr w:type="spellStart"/>
      <w:r w:rsidR="00947BFA">
        <w:t>the</w:t>
      </w:r>
      <w:proofErr w:type="spellEnd"/>
      <w:r w:rsidR="00947BFA">
        <w:t xml:space="preserve"> </w:t>
      </w:r>
      <w:proofErr w:type="spellStart"/>
      <w:r w:rsidR="00947BFA">
        <w:t>time-dependent</w:t>
      </w:r>
      <w:proofErr w:type="spellEnd"/>
      <w:r w:rsidR="00947BFA">
        <w:t xml:space="preserve"> data. </w:t>
      </w:r>
      <w:proofErr w:type="spellStart"/>
      <w:r w:rsidR="00947BFA">
        <w:t>This</w:t>
      </w:r>
      <w:proofErr w:type="spellEnd"/>
      <w:r w:rsidR="00947BFA">
        <w:t xml:space="preserve"> </w:t>
      </w:r>
      <w:proofErr w:type="spellStart"/>
      <w:r w:rsidR="00947BFA">
        <w:t>attribute</w:t>
      </w:r>
      <w:proofErr w:type="spellEnd"/>
      <w:r w:rsidR="00947BFA">
        <w:t xml:space="preserve"> </w:t>
      </w:r>
      <w:proofErr w:type="spellStart"/>
      <w:r w:rsidR="00947BFA">
        <w:t>will</w:t>
      </w:r>
      <w:proofErr w:type="spellEnd"/>
      <w:r w:rsidR="00947BFA">
        <w:t xml:space="preserve"> </w:t>
      </w:r>
      <w:proofErr w:type="spellStart"/>
      <w:r w:rsidR="00947BFA">
        <w:t>also</w:t>
      </w:r>
      <w:proofErr w:type="spellEnd"/>
      <w:r w:rsidR="00947BFA">
        <w:t xml:space="preserve"> </w:t>
      </w:r>
      <w:proofErr w:type="spellStart"/>
      <w:r w:rsidR="00947BFA">
        <w:t>be</w:t>
      </w:r>
      <w:proofErr w:type="spellEnd"/>
      <w:r w:rsidR="00947BFA">
        <w:t xml:space="preserve"> </w:t>
      </w:r>
      <w:proofErr w:type="spellStart"/>
      <w:r w:rsidR="00947BFA">
        <w:t>added</w:t>
      </w:r>
      <w:proofErr w:type="spellEnd"/>
      <w:r w:rsidR="00947BFA">
        <w:t xml:space="preserve"> to </w:t>
      </w:r>
      <w:proofErr w:type="spellStart"/>
      <w:r w:rsidR="00947BFA">
        <w:t>the</w:t>
      </w:r>
      <w:proofErr w:type="spellEnd"/>
      <w:r w:rsidR="00947BFA">
        <w:t xml:space="preserve"> master data </w:t>
      </w:r>
      <w:proofErr w:type="spellStart"/>
      <w:r w:rsidR="00947BFA">
        <w:t>dump</w:t>
      </w:r>
      <w:proofErr w:type="spellEnd"/>
      <w:r w:rsidR="00947BFA">
        <w:t xml:space="preserve"> on </w:t>
      </w:r>
      <w:proofErr w:type="spellStart"/>
      <w:r w:rsidR="00947BFA">
        <w:t>the</w:t>
      </w:r>
      <w:proofErr w:type="spellEnd"/>
      <w:r w:rsidR="00947BFA">
        <w:t xml:space="preserve"> OTE </w:t>
      </w:r>
      <w:proofErr w:type="spellStart"/>
      <w:r w:rsidR="00947BFA">
        <w:t>portal</w:t>
      </w:r>
      <w:proofErr w:type="spellEnd"/>
      <w:r w:rsidR="00947BFA">
        <w:t xml:space="preserve"> and </w:t>
      </w:r>
      <w:proofErr w:type="spellStart"/>
      <w:r w:rsidR="00947BFA">
        <w:t>the</w:t>
      </w:r>
      <w:proofErr w:type="spellEnd"/>
      <w:r w:rsidR="00947BFA">
        <w:t xml:space="preserve"> excel export.</w:t>
      </w:r>
    </w:p>
    <w:p w14:paraId="491DEFE7" w14:textId="77777777" w:rsidR="00E55010" w:rsidRPr="00E55010" w:rsidRDefault="00E55010" w:rsidP="00E75578">
      <w:pPr>
        <w:jc w:val="both"/>
      </w:pPr>
    </w:p>
    <w:p w14:paraId="1C894B6F" w14:textId="77777777" w:rsidR="00C812CE" w:rsidRDefault="00947BFA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9" w:name="_Toc164159261"/>
      <w:proofErr w:type="spellStart"/>
      <w:r w:rsidRPr="00B00664">
        <w:rPr>
          <w:b/>
          <w:bCs/>
          <w:u w:val="single"/>
        </w:rPr>
        <w:t>Modification</w:t>
      </w:r>
      <w:proofErr w:type="spellEnd"/>
      <w:r w:rsidRPr="00B00664">
        <w:rPr>
          <w:b/>
          <w:bCs/>
          <w:u w:val="single"/>
        </w:rPr>
        <w:t xml:space="preserve"> of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structure</w:t>
      </w:r>
      <w:proofErr w:type="spellEnd"/>
      <w:r w:rsidRPr="00B00664">
        <w:rPr>
          <w:b/>
          <w:bCs/>
          <w:u w:val="single"/>
        </w:rPr>
        <w:t xml:space="preserve"> of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documents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for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distribution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invoicing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according</w:t>
      </w:r>
      <w:proofErr w:type="spellEnd"/>
      <w:r w:rsidRPr="00B00664">
        <w:rPr>
          <w:b/>
          <w:bCs/>
          <w:u w:val="single"/>
        </w:rPr>
        <w:t xml:space="preserve"> to </w:t>
      </w:r>
      <w:proofErr w:type="spellStart"/>
      <w:r w:rsidRPr="00B00664">
        <w:rPr>
          <w:b/>
          <w:bCs/>
          <w:u w:val="single"/>
        </w:rPr>
        <w:t>Annex</w:t>
      </w:r>
      <w:proofErr w:type="spellEnd"/>
      <w:r w:rsidRPr="00B00664">
        <w:rPr>
          <w:b/>
          <w:bCs/>
          <w:u w:val="single"/>
        </w:rPr>
        <w:t xml:space="preserve"> 20 of </w:t>
      </w:r>
      <w:proofErr w:type="spellStart"/>
      <w:r w:rsidRPr="00B00664">
        <w:rPr>
          <w:b/>
          <w:bCs/>
          <w:u w:val="single"/>
        </w:rPr>
        <w:t>Decree</w:t>
      </w:r>
      <w:proofErr w:type="spellEnd"/>
      <w:r w:rsidRPr="00B00664">
        <w:rPr>
          <w:b/>
          <w:bCs/>
          <w:u w:val="single"/>
        </w:rPr>
        <w:t xml:space="preserve"> </w:t>
      </w:r>
      <w:r w:rsidR="00E67982" w:rsidRPr="00B00664">
        <w:rPr>
          <w:b/>
          <w:bCs/>
          <w:u w:val="single"/>
        </w:rPr>
        <w:t xml:space="preserve">No. </w:t>
      </w:r>
      <w:r w:rsidRPr="00B00664">
        <w:rPr>
          <w:b/>
          <w:bCs/>
          <w:u w:val="single"/>
        </w:rPr>
        <w:t xml:space="preserve">408/2015 </w:t>
      </w:r>
      <w:proofErr w:type="spellStart"/>
      <w:r w:rsidRPr="00B00664">
        <w:rPr>
          <w:b/>
          <w:bCs/>
          <w:u w:val="single"/>
        </w:rPr>
        <w:t>Coll</w:t>
      </w:r>
      <w:proofErr w:type="spellEnd"/>
      <w:r w:rsidRPr="00B00664">
        <w:rPr>
          <w:b/>
          <w:bCs/>
          <w:u w:val="single"/>
        </w:rPr>
        <w:t>.</w:t>
      </w:r>
      <w:bookmarkEnd w:id="9"/>
    </w:p>
    <w:p w14:paraId="5A1FA4FC" w14:textId="77777777" w:rsidR="00C812CE" w:rsidRDefault="00947BFA">
      <w:pPr>
        <w:jc w:val="both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 w:rsidR="007A4BDE">
        <w:t>sharing</w:t>
      </w:r>
      <w:proofErr w:type="spellEnd"/>
      <w:r w:rsidR="007A4BDE">
        <w:t xml:space="preserve">, </w:t>
      </w:r>
      <w:proofErr w:type="spellStart"/>
      <w:r w:rsidR="007A4BDE">
        <w:t>the</w:t>
      </w:r>
      <w:proofErr w:type="spellEnd"/>
      <w:r w:rsidR="007A4BDE">
        <w:t xml:space="preserve"> </w:t>
      </w:r>
      <w:proofErr w:type="spellStart"/>
      <w:r w:rsidR="007A4BDE">
        <w:t>structure</w:t>
      </w:r>
      <w:proofErr w:type="spellEnd"/>
      <w:r w:rsidR="007A4BDE">
        <w:t xml:space="preserve"> of </w:t>
      </w:r>
      <w:proofErr w:type="spellStart"/>
      <w:r w:rsidR="007A4BDE">
        <w:t>the</w:t>
      </w:r>
      <w:proofErr w:type="spellEnd"/>
      <w:r w:rsidR="007A4BDE">
        <w:t xml:space="preserve"> </w:t>
      </w:r>
      <w:proofErr w:type="spellStart"/>
      <w:r w:rsidR="007A4BDE">
        <w:t>documents</w:t>
      </w:r>
      <w:proofErr w:type="spellEnd"/>
      <w:r w:rsidR="007A4BDE">
        <w:t xml:space="preserve"> </w:t>
      </w:r>
      <w:proofErr w:type="spellStart"/>
      <w:r w:rsidR="007A4BDE">
        <w:t>for</w:t>
      </w:r>
      <w:proofErr w:type="spellEnd"/>
      <w:r w:rsidR="007A4BDE">
        <w:t xml:space="preserve"> </w:t>
      </w:r>
      <w:proofErr w:type="spellStart"/>
      <w:r w:rsidR="007A4BDE">
        <w:t>distribution</w:t>
      </w:r>
      <w:proofErr w:type="spellEnd"/>
      <w:r w:rsidR="007A4BDE">
        <w:t xml:space="preserve"> </w:t>
      </w:r>
      <w:proofErr w:type="spellStart"/>
      <w:r w:rsidR="007A4BDE">
        <w:t>invoicing</w:t>
      </w:r>
      <w:proofErr w:type="spellEnd"/>
      <w:r w:rsidR="007A4BDE">
        <w:t xml:space="preserve"> </w:t>
      </w:r>
      <w:proofErr w:type="spellStart"/>
      <w:r w:rsidR="007A4BDE">
        <w:t>will</w:t>
      </w:r>
      <w:proofErr w:type="spellEnd"/>
      <w:r w:rsidR="007A4BDE">
        <w:t xml:space="preserve"> </w:t>
      </w:r>
      <w:proofErr w:type="spellStart"/>
      <w:r w:rsidR="007A4BDE">
        <w:t>be</w:t>
      </w:r>
      <w:proofErr w:type="spellEnd"/>
      <w:r w:rsidR="007A4BDE">
        <w:t xml:space="preserve"> </w:t>
      </w:r>
      <w:proofErr w:type="spellStart"/>
      <w:r w:rsidR="007A4BDE">
        <w:t>modified</w:t>
      </w:r>
      <w:proofErr w:type="spellEnd"/>
      <w:r w:rsidR="007A4BDE">
        <w:t xml:space="preserve"> in </w:t>
      </w:r>
      <w:proofErr w:type="spellStart"/>
      <w:r w:rsidR="007A4BDE">
        <w:t>accordance</w:t>
      </w:r>
      <w:proofErr w:type="spellEnd"/>
      <w:r w:rsidR="007A4BDE">
        <w:t xml:space="preserve"> </w:t>
      </w:r>
      <w:proofErr w:type="spellStart"/>
      <w:r w:rsidR="007A4BDE">
        <w:t>with</w:t>
      </w:r>
      <w:proofErr w:type="spellEnd"/>
      <w:r w:rsidR="007A4BDE">
        <w:t xml:space="preserve"> </w:t>
      </w:r>
      <w:proofErr w:type="spellStart"/>
      <w:r w:rsidR="007A4BDE">
        <w:t>Annex</w:t>
      </w:r>
      <w:proofErr w:type="spellEnd"/>
      <w:r w:rsidR="007A4BDE">
        <w:t xml:space="preserve"> 20 of </w:t>
      </w:r>
      <w:proofErr w:type="spellStart"/>
      <w:r w:rsidR="007A4BDE">
        <w:t>Decree</w:t>
      </w:r>
      <w:proofErr w:type="spellEnd"/>
      <w:r w:rsidR="007A4BDE">
        <w:t xml:space="preserve"> </w:t>
      </w:r>
      <w:r w:rsidR="00E67982">
        <w:t>No.</w:t>
      </w:r>
      <w:r w:rsidR="007A4BDE">
        <w:t xml:space="preserve">408/2015 </w:t>
      </w:r>
      <w:proofErr w:type="spellStart"/>
      <w:r w:rsidR="007A4BDE">
        <w:t>Coll</w:t>
      </w:r>
      <w:proofErr w:type="spellEnd"/>
      <w:r w:rsidR="007A4BDE">
        <w:t xml:space="preserve">. At </w:t>
      </w:r>
      <w:proofErr w:type="spellStart"/>
      <w:r w:rsidR="007A4BDE">
        <w:t>this</w:t>
      </w:r>
      <w:proofErr w:type="spellEnd"/>
      <w:r w:rsidR="007A4BDE">
        <w:t xml:space="preserve"> </w:t>
      </w:r>
      <w:proofErr w:type="spellStart"/>
      <w:r w:rsidR="007A4BDE">
        <w:t>stage</w:t>
      </w:r>
      <w:proofErr w:type="spellEnd"/>
      <w:r w:rsidR="007A4BDE">
        <w:t xml:space="preserve">, </w:t>
      </w:r>
      <w:proofErr w:type="spellStart"/>
      <w:r w:rsidR="007A4BDE">
        <w:t>the</w:t>
      </w:r>
      <w:proofErr w:type="spellEnd"/>
      <w:r w:rsidR="007A4BDE">
        <w:t xml:space="preserve"> </w:t>
      </w:r>
      <w:proofErr w:type="spellStart"/>
      <w:r w:rsidR="007A4BDE">
        <w:t>proposed</w:t>
      </w:r>
      <w:proofErr w:type="spellEnd"/>
      <w:r w:rsidR="007A4BDE">
        <w:t xml:space="preserve"> </w:t>
      </w:r>
      <w:proofErr w:type="spellStart"/>
      <w:r w:rsidR="007A4BDE">
        <w:t>changes</w:t>
      </w:r>
      <w:proofErr w:type="spellEnd"/>
      <w:r w:rsidR="007A4BDE">
        <w:t xml:space="preserve"> </w:t>
      </w:r>
      <w:proofErr w:type="spellStart"/>
      <w:r w:rsidR="007A4BDE">
        <w:t>valid</w:t>
      </w:r>
      <w:proofErr w:type="spellEnd"/>
      <w:r w:rsidR="007A4BDE">
        <w:t xml:space="preserve"> as of 1 July </w:t>
      </w:r>
      <w:r w:rsidR="00E67982">
        <w:t>2024</w:t>
      </w:r>
      <w:r w:rsidR="007A4BDE">
        <w:t xml:space="preserve"> </w:t>
      </w:r>
      <w:proofErr w:type="spellStart"/>
      <w:r w:rsidR="007A4BDE">
        <w:t>will</w:t>
      </w:r>
      <w:proofErr w:type="spellEnd"/>
      <w:r w:rsidR="007A4BDE">
        <w:t xml:space="preserve"> </w:t>
      </w:r>
      <w:proofErr w:type="spellStart"/>
      <w:r w:rsidR="007A4BDE">
        <w:t>be</w:t>
      </w:r>
      <w:proofErr w:type="spellEnd"/>
      <w:r w:rsidR="007A4BDE">
        <w:t xml:space="preserve"> </w:t>
      </w:r>
      <w:proofErr w:type="spellStart"/>
      <w:r w:rsidR="007A4BDE">
        <w:t>implemented</w:t>
      </w:r>
      <w:proofErr w:type="spellEnd"/>
      <w:r w:rsidR="007A4BDE">
        <w:t xml:space="preserve"> (</w:t>
      </w:r>
      <w:proofErr w:type="spellStart"/>
      <w:r w:rsidR="007A4BDE">
        <w:t>the</w:t>
      </w:r>
      <w:proofErr w:type="spellEnd"/>
      <w:r w:rsidR="007A4BDE">
        <w:t xml:space="preserve"> </w:t>
      </w:r>
      <w:proofErr w:type="spellStart"/>
      <w:r w:rsidR="007A4BDE">
        <w:t>changes</w:t>
      </w:r>
      <w:proofErr w:type="spellEnd"/>
      <w:r w:rsidR="007A4BDE">
        <w:t xml:space="preserve"> </w:t>
      </w:r>
      <w:proofErr w:type="spellStart"/>
      <w:r w:rsidR="007A4BDE">
        <w:t>proposed</w:t>
      </w:r>
      <w:proofErr w:type="spellEnd"/>
      <w:r w:rsidR="007A4BDE">
        <w:t xml:space="preserve"> </w:t>
      </w:r>
      <w:proofErr w:type="spellStart"/>
      <w:r w:rsidR="007A4BDE">
        <w:t>with</w:t>
      </w:r>
      <w:proofErr w:type="spellEnd"/>
      <w:r w:rsidR="007A4BDE">
        <w:t xml:space="preserve"> </w:t>
      </w:r>
      <w:proofErr w:type="spellStart"/>
      <w:r w:rsidR="007A4BDE">
        <w:t>effect</w:t>
      </w:r>
      <w:proofErr w:type="spellEnd"/>
      <w:r w:rsidR="007A4BDE">
        <w:t xml:space="preserve"> </w:t>
      </w:r>
      <w:proofErr w:type="spellStart"/>
      <w:r w:rsidR="007A4BDE">
        <w:t>from</w:t>
      </w:r>
      <w:proofErr w:type="spellEnd"/>
      <w:r w:rsidR="007A4BDE">
        <w:t xml:space="preserve"> 1 </w:t>
      </w:r>
      <w:proofErr w:type="spellStart"/>
      <w:r w:rsidR="007A4BDE">
        <w:t>January</w:t>
      </w:r>
      <w:proofErr w:type="spellEnd"/>
      <w:r w:rsidR="007A4BDE">
        <w:t xml:space="preserve"> 2025 are not part of </w:t>
      </w:r>
      <w:proofErr w:type="spellStart"/>
      <w:r w:rsidR="007A4BDE">
        <w:t>the</w:t>
      </w:r>
      <w:proofErr w:type="spellEnd"/>
      <w:r w:rsidR="007A4BDE">
        <w:t xml:space="preserve"> </w:t>
      </w:r>
      <w:proofErr w:type="spellStart"/>
      <w:r w:rsidR="007A4BDE">
        <w:t>proposal</w:t>
      </w:r>
      <w:proofErr w:type="spellEnd"/>
      <w:r w:rsidR="007A4BDE">
        <w:t>)</w:t>
      </w:r>
      <w:r w:rsidR="00E67982">
        <w:t>.</w:t>
      </w:r>
    </w:p>
    <w:p w14:paraId="0B093237" w14:textId="77777777" w:rsidR="00C812CE" w:rsidRDefault="00947BFA">
      <w:pPr>
        <w:pStyle w:val="Nadpis3"/>
        <w:jc w:val="both"/>
        <w:rPr>
          <w:b/>
          <w:bCs/>
        </w:rPr>
      </w:pPr>
      <w:bookmarkStart w:id="10" w:name="_Toc164159262"/>
      <w:r w:rsidRPr="00CD6983">
        <w:rPr>
          <w:b/>
          <w:bCs/>
        </w:rPr>
        <w:t>DUFVO (</w:t>
      </w:r>
      <w:proofErr w:type="spellStart"/>
      <w:r w:rsidRPr="00CD6983">
        <w:rPr>
          <w:b/>
          <w:bCs/>
        </w:rPr>
        <w:t>points</w:t>
      </w:r>
      <w:proofErr w:type="spellEnd"/>
      <w:r w:rsidRPr="00CD6983">
        <w:rPr>
          <w:b/>
          <w:bCs/>
        </w:rPr>
        <w:t xml:space="preserve"> of </w:t>
      </w:r>
      <w:proofErr w:type="spellStart"/>
      <w:r w:rsidRPr="00CD6983">
        <w:rPr>
          <w:b/>
          <w:bCs/>
        </w:rPr>
        <w:t>consumption</w:t>
      </w:r>
      <w:proofErr w:type="spellEnd"/>
      <w:r w:rsidRPr="00CD6983">
        <w:rPr>
          <w:b/>
          <w:bCs/>
        </w:rPr>
        <w:t xml:space="preserve"> </w:t>
      </w:r>
      <w:proofErr w:type="spellStart"/>
      <w:r w:rsidRPr="00CD6983">
        <w:rPr>
          <w:b/>
          <w:bCs/>
        </w:rPr>
        <w:t>outside</w:t>
      </w:r>
      <w:proofErr w:type="spellEnd"/>
      <w:r w:rsidRPr="00CD6983">
        <w:rPr>
          <w:b/>
          <w:bCs/>
        </w:rPr>
        <w:t xml:space="preserve"> </w:t>
      </w:r>
      <w:proofErr w:type="spellStart"/>
      <w:r w:rsidRPr="00CD6983">
        <w:rPr>
          <w:b/>
          <w:bCs/>
        </w:rPr>
        <w:t>the</w:t>
      </w:r>
      <w:proofErr w:type="spellEnd"/>
      <w:r w:rsidRPr="00CD6983">
        <w:rPr>
          <w:b/>
          <w:bCs/>
        </w:rPr>
        <w:t xml:space="preserve"> LV level)</w:t>
      </w:r>
      <w:bookmarkEnd w:id="10"/>
    </w:p>
    <w:p w14:paraId="7AD81336" w14:textId="54D46D15" w:rsidR="00C812CE" w:rsidRDefault="00947BFA">
      <w:pPr>
        <w:jc w:val="both"/>
      </w:pPr>
      <w:proofErr w:type="spellStart"/>
      <w:r w:rsidRPr="008F79BB">
        <w:t>One</w:t>
      </w:r>
      <w:proofErr w:type="spellEnd"/>
      <w:r w:rsidRPr="008F79BB">
        <w:t xml:space="preserve"> </w:t>
      </w:r>
      <w:proofErr w:type="spellStart"/>
      <w:r w:rsidRPr="008F79BB">
        <w:t>new</w:t>
      </w:r>
      <w:proofErr w:type="spellEnd"/>
      <w:r w:rsidRPr="008F79BB">
        <w:t xml:space="preserve"> </w:t>
      </w:r>
      <w:proofErr w:type="spellStart"/>
      <w:r w:rsidRPr="008F79BB">
        <w:t>optional</w:t>
      </w:r>
      <w:proofErr w:type="spellEnd"/>
      <w:r w:rsidRPr="008F79BB">
        <w:t xml:space="preserve"> </w:t>
      </w:r>
      <w:proofErr w:type="spellStart"/>
      <w:r w:rsidRPr="008F79BB">
        <w:t>parameter</w:t>
      </w:r>
      <w:proofErr w:type="spellEnd"/>
      <w:r w:rsidRPr="008F79BB">
        <w:t xml:space="preserve"> </w:t>
      </w:r>
      <w:proofErr w:type="spellStart"/>
      <w:r w:rsidRPr="008F79BB">
        <w:t>will</w:t>
      </w:r>
      <w:proofErr w:type="spellEnd"/>
      <w:r w:rsidRPr="008F79BB">
        <w:t xml:space="preserve"> </w:t>
      </w:r>
      <w:proofErr w:type="spellStart"/>
      <w:r w:rsidRPr="008F79BB">
        <w:t>be</w:t>
      </w:r>
      <w:proofErr w:type="spellEnd"/>
      <w:r w:rsidRPr="008F79BB">
        <w:t xml:space="preserve"> </w:t>
      </w:r>
      <w:proofErr w:type="spellStart"/>
      <w:r w:rsidRPr="008F79BB">
        <w:t>added</w:t>
      </w:r>
      <w:proofErr w:type="spellEnd"/>
      <w:r w:rsidRPr="008F79BB">
        <w:t xml:space="preserve"> to </w:t>
      </w:r>
      <w:proofErr w:type="spellStart"/>
      <w:r w:rsidRPr="008F79BB">
        <w:t>the</w:t>
      </w:r>
      <w:proofErr w:type="spellEnd"/>
      <w:r w:rsidRPr="008F79BB">
        <w:t xml:space="preserve"> DUFVO report to </w:t>
      </w:r>
      <w:proofErr w:type="spellStart"/>
      <w:r w:rsidRPr="008F79BB">
        <w:t>record</w:t>
      </w:r>
      <w:proofErr w:type="spellEnd"/>
      <w:r w:rsidRPr="008F79BB">
        <w:t xml:space="preserve"> </w:t>
      </w:r>
      <w:proofErr w:type="spellStart"/>
      <w:r w:rsidRPr="008F79BB">
        <w:t>the</w:t>
      </w:r>
      <w:proofErr w:type="spellEnd"/>
      <w:r w:rsidRPr="008F79BB">
        <w:t xml:space="preserve"> </w:t>
      </w:r>
      <w:proofErr w:type="spellStart"/>
      <w:r w:rsidRPr="008F79BB">
        <w:t>amount</w:t>
      </w:r>
      <w:proofErr w:type="spellEnd"/>
      <w:r w:rsidRPr="008F79BB">
        <w:t xml:space="preserve"> of </w:t>
      </w:r>
      <w:proofErr w:type="spellStart"/>
      <w:r w:rsidRPr="008F79BB">
        <w:t>power</w:t>
      </w:r>
      <w:proofErr w:type="spellEnd"/>
      <w:r w:rsidRPr="008F79BB">
        <w:t xml:space="preserve"> </w:t>
      </w:r>
      <w:proofErr w:type="spellStart"/>
      <w:r w:rsidRPr="008F79BB">
        <w:t>electricity</w:t>
      </w:r>
      <w:proofErr w:type="spellEnd"/>
      <w:r w:rsidRPr="008F79BB">
        <w:t xml:space="preserve"> net of </w:t>
      </w:r>
      <w:proofErr w:type="spellStart"/>
      <w:r w:rsidRPr="008F79BB">
        <w:t>sharing</w:t>
      </w:r>
      <w:proofErr w:type="spellEnd"/>
      <w:r w:rsidRPr="008F79BB">
        <w:t>.</w:t>
      </w:r>
    </w:p>
    <w:p w14:paraId="4E65F767" w14:textId="1A9803BF" w:rsidR="00C812CE" w:rsidRDefault="00947BFA">
      <w:pPr>
        <w:jc w:val="both"/>
        <w:rPr>
          <w:rFonts w:cs="Aptos"/>
          <w:color w:val="000000"/>
        </w:rPr>
      </w:pPr>
      <w:proofErr w:type="spellStart"/>
      <w:r>
        <w:t>The</w:t>
      </w:r>
      <w:proofErr w:type="spellEnd"/>
      <w:r>
        <w:t xml:space="preserve"> CDSIDIS </w:t>
      </w:r>
      <w:proofErr w:type="spellStart"/>
      <w:r>
        <w:t>template</w:t>
      </w:r>
      <w:proofErr w:type="spellEnd"/>
      <w:r>
        <w:t xml:space="preserve"> </w:t>
      </w:r>
      <w:r w:rsidR="00CD6983">
        <w:t xml:space="preserve">in </w:t>
      </w:r>
      <w:proofErr w:type="spellStart"/>
      <w:r w:rsidR="00CD6983">
        <w:t>the</w:t>
      </w:r>
      <w:proofErr w:type="spellEnd"/>
      <w:r w:rsidR="00CD6983">
        <w:t xml:space="preserve"> OPM element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r w:rsidR="00CD6983">
        <w:t>"</w:t>
      </w:r>
      <w:proofErr w:type="spellStart"/>
      <w:r>
        <w:t>qty-ash</w:t>
      </w:r>
      <w:proofErr w:type="spellEnd"/>
      <w:r w:rsidR="00CD6983">
        <w:t xml:space="preserve">" </w:t>
      </w:r>
      <w:r w:rsidR="008364D3">
        <w:t xml:space="preserve">- </w:t>
      </w:r>
      <w:proofErr w:type="spellStart"/>
      <w:r w:rsidRPr="005A0211">
        <w:rPr>
          <w:rFonts w:cs="Aptos"/>
          <w:color w:val="000000"/>
        </w:rPr>
        <w:t>Total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consumption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for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billing</w:t>
      </w:r>
      <w:proofErr w:type="spellEnd"/>
      <w:r w:rsidRPr="005A0211">
        <w:rPr>
          <w:rFonts w:cs="Aptos"/>
          <w:color w:val="000000"/>
        </w:rPr>
        <w:t xml:space="preserve"> of </w:t>
      </w:r>
      <w:proofErr w:type="spellStart"/>
      <w:r w:rsidRPr="005A0211">
        <w:rPr>
          <w:rFonts w:cs="Aptos"/>
          <w:color w:val="000000"/>
        </w:rPr>
        <w:t>electricity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supply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taking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into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account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the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shared</w:t>
      </w:r>
      <w:proofErr w:type="spellEnd"/>
      <w:r w:rsidRPr="005A0211">
        <w:rPr>
          <w:rFonts w:cs="Aptos"/>
          <w:color w:val="000000"/>
        </w:rPr>
        <w:t xml:space="preserve"> </w:t>
      </w:r>
      <w:proofErr w:type="spellStart"/>
      <w:r w:rsidRPr="005A0211">
        <w:rPr>
          <w:rFonts w:cs="Aptos"/>
          <w:color w:val="000000"/>
        </w:rPr>
        <w:t>electricity</w:t>
      </w:r>
      <w:proofErr w:type="spellEnd"/>
      <w:r w:rsidRPr="005A0211">
        <w:rPr>
          <w:rFonts w:cs="Aptos"/>
          <w:color w:val="000000"/>
        </w:rPr>
        <w:t xml:space="preserve"> </w:t>
      </w:r>
      <w:r>
        <w:rPr>
          <w:rFonts w:cs="Aptos"/>
          <w:color w:val="000000"/>
        </w:rPr>
        <w:t>[</w:t>
      </w:r>
      <w:r w:rsidRPr="005A0211">
        <w:rPr>
          <w:rFonts w:cs="Aptos"/>
          <w:color w:val="000000"/>
        </w:rPr>
        <w:t xml:space="preserve">kWh </w:t>
      </w:r>
      <w:proofErr w:type="spellStart"/>
      <w:r w:rsidR="00CE520B">
        <w:rPr>
          <w:rFonts w:cs="Aptos"/>
          <w:color w:val="000000"/>
        </w:rPr>
        <w:t>with</w:t>
      </w:r>
      <w:proofErr w:type="spellEnd"/>
      <w:r>
        <w:rPr>
          <w:rFonts w:cs="Aptos"/>
          <w:color w:val="000000"/>
        </w:rPr>
        <w:t xml:space="preserve"> 2 </w:t>
      </w:r>
      <w:proofErr w:type="spellStart"/>
      <w:r>
        <w:rPr>
          <w:rFonts w:cs="Aptos"/>
          <w:color w:val="000000"/>
        </w:rPr>
        <w:t>decimal</w:t>
      </w:r>
      <w:proofErr w:type="spellEnd"/>
      <w:r>
        <w:rPr>
          <w:rFonts w:cs="Aptos"/>
          <w:color w:val="000000"/>
        </w:rPr>
        <w:t xml:space="preserve"> </w:t>
      </w:r>
      <w:proofErr w:type="spellStart"/>
      <w:r>
        <w:rPr>
          <w:rFonts w:cs="Aptos"/>
          <w:color w:val="000000"/>
        </w:rPr>
        <w:t>places</w:t>
      </w:r>
      <w:proofErr w:type="spellEnd"/>
      <w:r>
        <w:rPr>
          <w:rFonts w:cs="Aptos"/>
          <w:color w:val="000000"/>
        </w:rPr>
        <w:t xml:space="preserve">].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79BB" w14:paraId="0E2C8C9E" w14:textId="77777777" w:rsidTr="00ED6946">
        <w:tc>
          <w:tcPr>
            <w:tcW w:w="3020" w:type="dxa"/>
          </w:tcPr>
          <w:p w14:paraId="38D0FCC4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Attribute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name</w:t>
            </w:r>
            <w:proofErr w:type="spellEnd"/>
          </w:p>
        </w:tc>
        <w:tc>
          <w:tcPr>
            <w:tcW w:w="3021" w:type="dxa"/>
          </w:tcPr>
          <w:p w14:paraId="447DB695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Description</w:t>
            </w:r>
            <w:proofErr w:type="spellEnd"/>
          </w:p>
        </w:tc>
        <w:tc>
          <w:tcPr>
            <w:tcW w:w="3021" w:type="dxa"/>
          </w:tcPr>
          <w:p w14:paraId="25D241A1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structure</w:t>
            </w:r>
            <w:proofErr w:type="spellEnd"/>
          </w:p>
        </w:tc>
      </w:tr>
      <w:tr w:rsidR="008F79BB" w14:paraId="64465882" w14:textId="77777777" w:rsidTr="00ED6946">
        <w:tc>
          <w:tcPr>
            <w:tcW w:w="3020" w:type="dxa"/>
          </w:tcPr>
          <w:p w14:paraId="5E1B35AE" w14:textId="77777777" w:rsidR="00C812CE" w:rsidRDefault="008F79BB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qty-ash</w:t>
            </w:r>
            <w:proofErr w:type="spellEnd"/>
          </w:p>
        </w:tc>
        <w:tc>
          <w:tcPr>
            <w:tcW w:w="3021" w:type="dxa"/>
          </w:tcPr>
          <w:p w14:paraId="54E73B76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Total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consumption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for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electricity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billing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taking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into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account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shared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electricity</w:t>
            </w:r>
            <w:proofErr w:type="spellEnd"/>
          </w:p>
        </w:tc>
        <w:tc>
          <w:tcPr>
            <w:tcW w:w="3021" w:type="dxa"/>
          </w:tcPr>
          <w:p w14:paraId="45E1033F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qty_type_2</w:t>
            </w:r>
          </w:p>
        </w:tc>
      </w:tr>
    </w:tbl>
    <w:p w14:paraId="79BE5E25" w14:textId="77777777" w:rsidR="008F79BB" w:rsidRDefault="008F79BB" w:rsidP="00E75578">
      <w:pPr>
        <w:jc w:val="both"/>
      </w:pPr>
    </w:p>
    <w:p w14:paraId="172EB95D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xsd</w:t>
      </w:r>
      <w:proofErr w:type="spellEnd"/>
      <w:r>
        <w:t xml:space="preserve"> </w:t>
      </w:r>
      <w:proofErr w:type="spellStart"/>
      <w:r>
        <w:t>templates</w:t>
      </w:r>
      <w:proofErr w:type="spellEnd"/>
      <w:r w:rsidR="009616FA">
        <w:t>.</w:t>
      </w:r>
    </w:p>
    <w:p w14:paraId="7689EB71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DUFVO/PRICE/</w:t>
      </w:r>
      <w:proofErr w:type="spellStart"/>
      <w:r>
        <w:t>item</w:t>
      </w:r>
      <w:proofErr w:type="spellEnd"/>
      <w:r>
        <w:t xml:space="preserve"> </w:t>
      </w:r>
      <w:proofErr w:type="spellStart"/>
      <w:r>
        <w:t>enumeration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enumeration</w:t>
      </w:r>
      <w:proofErr w:type="spellEnd"/>
      <w:r>
        <w:t xml:space="preserve"> D003_NSI</w:t>
      </w:r>
      <w:r w:rsidR="009616F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9BB" w14:paraId="0761C090" w14:textId="77777777" w:rsidTr="008F79BB">
        <w:tc>
          <w:tcPr>
            <w:tcW w:w="4531" w:type="dxa"/>
          </w:tcPr>
          <w:p w14:paraId="241A32E8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Name of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enumeration</w:t>
            </w:r>
            <w:proofErr w:type="spellEnd"/>
          </w:p>
        </w:tc>
        <w:tc>
          <w:tcPr>
            <w:tcW w:w="4531" w:type="dxa"/>
          </w:tcPr>
          <w:p w14:paraId="1C1FB4A4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Description</w:t>
            </w:r>
            <w:proofErr w:type="spellEnd"/>
          </w:p>
        </w:tc>
      </w:tr>
      <w:tr w:rsidR="008F79BB" w14:paraId="1FD06D12" w14:textId="77777777" w:rsidTr="008F79BB">
        <w:tc>
          <w:tcPr>
            <w:tcW w:w="4531" w:type="dxa"/>
          </w:tcPr>
          <w:p w14:paraId="4C2504A4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D003_NSI</w:t>
            </w:r>
          </w:p>
        </w:tc>
        <w:tc>
          <w:tcPr>
            <w:tcW w:w="4531" w:type="dxa"/>
          </w:tcPr>
          <w:p w14:paraId="432FE77D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Non-network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infrastructure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fee</w:t>
            </w:r>
            <w:proofErr w:type="spellEnd"/>
          </w:p>
        </w:tc>
      </w:tr>
    </w:tbl>
    <w:p w14:paraId="19F50A08" w14:textId="77777777" w:rsidR="0076010A" w:rsidRDefault="0076010A" w:rsidP="00E75578">
      <w:pPr>
        <w:jc w:val="both"/>
      </w:pPr>
    </w:p>
    <w:p w14:paraId="688E9B1D" w14:textId="77777777" w:rsidR="00C812CE" w:rsidRDefault="00947BFA">
      <w:pPr>
        <w:jc w:val="both"/>
      </w:pPr>
      <w:r>
        <w:t xml:space="preserve">Sample export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OTE </w:t>
      </w:r>
      <w:proofErr w:type="spellStart"/>
      <w:r>
        <w:t>portal</w:t>
      </w:r>
      <w:proofErr w:type="spellEnd"/>
      <w:r>
        <w:t xml:space="preserve"> (DUF export to excel)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</w:t>
      </w:r>
      <w:proofErr w:type="spellStart"/>
      <w:r>
        <w:t>items</w:t>
      </w:r>
      <w:proofErr w:type="spellEnd"/>
    </w:p>
    <w:p w14:paraId="41E188F1" w14:textId="77777777" w:rsidR="008F79BB" w:rsidRPr="007A4BDE" w:rsidRDefault="00CD6983" w:rsidP="00E75578">
      <w:pPr>
        <w:jc w:val="both"/>
      </w:pPr>
      <w:r>
        <w:object w:dxaOrig="1532" w:dyaOrig="991" w14:anchorId="4F424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5pt;height:50.35pt" o:ole="">
            <v:imagedata r:id="rId8" o:title=""/>
          </v:shape>
          <o:OLEObject Type="Embed" ProgID="Excel.Sheet.12" ShapeID="_x0000_i1025" DrawAspect="Icon" ObjectID="_1774935639" r:id="rId9"/>
        </w:object>
      </w:r>
    </w:p>
    <w:p w14:paraId="044F647D" w14:textId="77777777" w:rsidR="00C812CE" w:rsidRDefault="00947BFA">
      <w:pPr>
        <w:pStyle w:val="Nadpis3"/>
        <w:jc w:val="both"/>
        <w:rPr>
          <w:b/>
          <w:bCs/>
        </w:rPr>
      </w:pPr>
      <w:bookmarkStart w:id="11" w:name="_Toc164159263"/>
      <w:r w:rsidRPr="00CD6983">
        <w:rPr>
          <w:b/>
          <w:bCs/>
        </w:rPr>
        <w:t>DUFMO (</w:t>
      </w:r>
      <w:proofErr w:type="spellStart"/>
      <w:r w:rsidRPr="00CD6983">
        <w:rPr>
          <w:b/>
          <w:bCs/>
        </w:rPr>
        <w:t>points</w:t>
      </w:r>
      <w:proofErr w:type="spellEnd"/>
      <w:r w:rsidRPr="00CD6983">
        <w:rPr>
          <w:b/>
          <w:bCs/>
        </w:rPr>
        <w:t xml:space="preserve"> of </w:t>
      </w:r>
      <w:proofErr w:type="spellStart"/>
      <w:r w:rsidRPr="00CD6983">
        <w:rPr>
          <w:b/>
          <w:bCs/>
        </w:rPr>
        <w:t>consumption</w:t>
      </w:r>
      <w:proofErr w:type="spellEnd"/>
      <w:r w:rsidRPr="00CD6983">
        <w:rPr>
          <w:b/>
          <w:bCs/>
        </w:rPr>
        <w:t xml:space="preserve"> </w:t>
      </w:r>
      <w:proofErr w:type="spellStart"/>
      <w:r w:rsidRPr="00CD6983">
        <w:rPr>
          <w:b/>
          <w:bCs/>
        </w:rPr>
        <w:t>at</w:t>
      </w:r>
      <w:proofErr w:type="spellEnd"/>
      <w:r w:rsidRPr="00CD6983">
        <w:rPr>
          <w:b/>
          <w:bCs/>
        </w:rPr>
        <w:t xml:space="preserve"> LV level)</w:t>
      </w:r>
      <w:bookmarkEnd w:id="11"/>
    </w:p>
    <w:p w14:paraId="74CEC834" w14:textId="77777777" w:rsidR="00C812CE" w:rsidRDefault="00947BFA">
      <w:pPr>
        <w:jc w:val="both"/>
      </w:pPr>
      <w:r w:rsidRPr="0076010A">
        <w:t xml:space="preserve">2 </w:t>
      </w:r>
      <w:proofErr w:type="spellStart"/>
      <w:r w:rsidRPr="0076010A">
        <w:t>optional</w:t>
      </w:r>
      <w:proofErr w:type="spellEnd"/>
      <w:r w:rsidRPr="0076010A">
        <w:t xml:space="preserve"> </w:t>
      </w:r>
      <w:proofErr w:type="spellStart"/>
      <w:r w:rsidRPr="0076010A">
        <w:t>attributes</w:t>
      </w:r>
      <w:proofErr w:type="spellEnd"/>
      <w:r w:rsidRPr="0076010A">
        <w:t xml:space="preserve"> </w:t>
      </w:r>
      <w:proofErr w:type="spellStart"/>
      <w:r w:rsidRPr="0076010A">
        <w:t>will</w:t>
      </w:r>
      <w:proofErr w:type="spellEnd"/>
      <w:r w:rsidRPr="0076010A">
        <w:t xml:space="preserve"> </w:t>
      </w:r>
      <w:proofErr w:type="spellStart"/>
      <w:r w:rsidRPr="0076010A">
        <w:t>now</w:t>
      </w:r>
      <w:proofErr w:type="spellEnd"/>
      <w:r w:rsidRPr="0076010A">
        <w:t xml:space="preserve"> </w:t>
      </w:r>
      <w:proofErr w:type="spellStart"/>
      <w:r w:rsidRPr="0076010A">
        <w:t>be</w:t>
      </w:r>
      <w:proofErr w:type="spellEnd"/>
      <w:r w:rsidRPr="0076010A">
        <w:t xml:space="preserve"> </w:t>
      </w:r>
      <w:proofErr w:type="spellStart"/>
      <w:r w:rsidRPr="0076010A">
        <w:t>added</w:t>
      </w:r>
      <w:proofErr w:type="spellEnd"/>
      <w:r w:rsidRPr="0076010A">
        <w:t xml:space="preserve"> to </w:t>
      </w:r>
      <w:proofErr w:type="spellStart"/>
      <w:r w:rsidRPr="0076010A">
        <w:t>the</w:t>
      </w:r>
      <w:proofErr w:type="spellEnd"/>
      <w:r w:rsidRPr="0076010A">
        <w:t xml:space="preserve"> DUF MO report to </w:t>
      </w:r>
      <w:proofErr w:type="spellStart"/>
      <w:r w:rsidRPr="0076010A">
        <w:t>record</w:t>
      </w:r>
      <w:proofErr w:type="spellEnd"/>
      <w:r w:rsidRPr="0076010A">
        <w:t xml:space="preserve"> </w:t>
      </w:r>
      <w:proofErr w:type="spellStart"/>
      <w:r w:rsidRPr="0076010A">
        <w:t>the</w:t>
      </w:r>
      <w:proofErr w:type="spellEnd"/>
      <w:r w:rsidRPr="0076010A">
        <w:t xml:space="preserve"> </w:t>
      </w:r>
      <w:proofErr w:type="spellStart"/>
      <w:r w:rsidRPr="0076010A">
        <w:t>amount</w:t>
      </w:r>
      <w:proofErr w:type="spellEnd"/>
      <w:r w:rsidRPr="0076010A">
        <w:t xml:space="preserve"> of </w:t>
      </w:r>
      <w:proofErr w:type="spellStart"/>
      <w:r w:rsidRPr="0076010A">
        <w:t>power</w:t>
      </w:r>
      <w:proofErr w:type="spellEnd"/>
      <w:r w:rsidRPr="0076010A">
        <w:t xml:space="preserve"> </w:t>
      </w:r>
      <w:proofErr w:type="spellStart"/>
      <w:r w:rsidRPr="0076010A">
        <w:t>electricity</w:t>
      </w:r>
      <w:proofErr w:type="spellEnd"/>
      <w:r w:rsidRPr="0076010A">
        <w:t xml:space="preserve"> net of </w:t>
      </w:r>
      <w:proofErr w:type="spellStart"/>
      <w:r w:rsidRPr="0076010A">
        <w:t>sharing</w:t>
      </w:r>
      <w:proofErr w:type="spellEnd"/>
      <w:r w:rsidRPr="0076010A">
        <w:t>.</w:t>
      </w:r>
    </w:p>
    <w:p w14:paraId="3BE366F5" w14:textId="77777777" w:rsidR="00C812CE" w:rsidRDefault="00947BFA">
      <w:pPr>
        <w:jc w:val="both"/>
      </w:pPr>
      <w:proofErr w:type="spellStart"/>
      <w:r w:rsidRPr="0076010A">
        <w:t>The</w:t>
      </w:r>
      <w:proofErr w:type="spellEnd"/>
      <w:r w:rsidRPr="0076010A">
        <w:t xml:space="preserve"> XSD </w:t>
      </w:r>
      <w:proofErr w:type="spellStart"/>
      <w:r w:rsidRPr="0076010A">
        <w:t>template</w:t>
      </w:r>
      <w:proofErr w:type="spellEnd"/>
      <w:r w:rsidRPr="0076010A">
        <w:t xml:space="preserve"> CDSIDIS </w:t>
      </w:r>
      <w:proofErr w:type="spellStart"/>
      <w:r w:rsidRPr="0076010A">
        <w:t>will</w:t>
      </w:r>
      <w:proofErr w:type="spellEnd"/>
      <w:r w:rsidRPr="0076010A">
        <w:t xml:space="preserve"> </w:t>
      </w:r>
      <w:proofErr w:type="spellStart"/>
      <w:r w:rsidRPr="0076010A">
        <w:t>be</w:t>
      </w:r>
      <w:proofErr w:type="spellEnd"/>
      <w:r w:rsidRPr="0076010A">
        <w:t xml:space="preserve"> </w:t>
      </w:r>
      <w:proofErr w:type="spellStart"/>
      <w:r w:rsidRPr="0076010A">
        <w:t>extended</w:t>
      </w:r>
      <w:proofErr w:type="spellEnd"/>
      <w:r w:rsidRPr="0076010A">
        <w:t xml:space="preserve"> in </w:t>
      </w:r>
      <w:proofErr w:type="spellStart"/>
      <w:r w:rsidRPr="0076010A">
        <w:t>the</w:t>
      </w:r>
      <w:proofErr w:type="spellEnd"/>
      <w:r w:rsidRPr="0076010A">
        <w:t xml:space="preserve"> </w:t>
      </w:r>
      <w:r w:rsidR="00CD6983">
        <w:t xml:space="preserve">OPM </w:t>
      </w:r>
      <w:r w:rsidRPr="0076010A">
        <w:t xml:space="preserve">element </w:t>
      </w:r>
      <w:proofErr w:type="spellStart"/>
      <w:r w:rsidRPr="0076010A">
        <w:t>with</w:t>
      </w:r>
      <w:proofErr w:type="spellEnd"/>
      <w:r w:rsidRPr="0076010A">
        <w:t xml:space="preserve"> 2 </w:t>
      </w:r>
      <w:proofErr w:type="spellStart"/>
      <w:r w:rsidRPr="0076010A">
        <w:t>new</w:t>
      </w:r>
      <w:proofErr w:type="spellEnd"/>
      <w:r w:rsidRPr="0076010A">
        <w:t xml:space="preserve"> </w:t>
      </w:r>
      <w:proofErr w:type="spellStart"/>
      <w:r w:rsidRPr="0076010A">
        <w:t>optional</w:t>
      </w:r>
      <w:proofErr w:type="spellEnd"/>
      <w:r w:rsidRPr="0076010A">
        <w:t xml:space="preserve"> </w:t>
      </w:r>
      <w:proofErr w:type="spellStart"/>
      <w:r w:rsidRPr="0076010A">
        <w:t>items</w:t>
      </w:r>
      <w:proofErr w:type="spellEnd"/>
      <w:r w:rsidRPr="0076010A">
        <w:t xml:space="preserve">: </w:t>
      </w:r>
    </w:p>
    <w:p w14:paraId="1DF1866B" w14:textId="77777777" w:rsidR="00C812CE" w:rsidRDefault="00947BFA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kern w:val="2"/>
          <w:sz w:val="22"/>
          <w:szCs w:val="22"/>
          <w:lang w:eastAsia="en-US"/>
        </w:rPr>
      </w:pP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qty-</w:t>
      </w:r>
      <w:proofErr w:type="gram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ashvt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- VT</w:t>
      </w:r>
      <w:proofErr w:type="gram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power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electricity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billing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amount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(type: qty_type_2)</w:t>
      </w:r>
    </w:p>
    <w:p w14:paraId="55BE804D" w14:textId="77777777" w:rsidR="00C812CE" w:rsidRDefault="00947BFA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kern w:val="2"/>
          <w:sz w:val="22"/>
          <w:szCs w:val="22"/>
          <w:lang w:eastAsia="en-US"/>
        </w:rPr>
      </w:pP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qty-</w:t>
      </w:r>
      <w:proofErr w:type="gram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ashnt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- NT</w:t>
      </w:r>
      <w:proofErr w:type="gram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power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electricity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billing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</w:t>
      </w:r>
      <w:proofErr w:type="spellStart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>amount</w:t>
      </w:r>
      <w:proofErr w:type="spellEnd"/>
      <w:r w:rsidRPr="00CD6983">
        <w:rPr>
          <w:rFonts w:asciiTheme="minorHAnsi" w:hAnsiTheme="minorHAnsi"/>
          <w:kern w:val="2"/>
          <w:sz w:val="22"/>
          <w:szCs w:val="22"/>
          <w:lang w:eastAsia="en-US"/>
        </w:rPr>
        <w:t xml:space="preserve"> (type: qty_type_2)</w:t>
      </w:r>
    </w:p>
    <w:p w14:paraId="084CE41D" w14:textId="77777777" w:rsidR="0076010A" w:rsidRDefault="0076010A" w:rsidP="00E75578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4"/>
      </w:tblGrid>
      <w:tr w:rsidR="0076010A" w14:paraId="534658FC" w14:textId="77777777" w:rsidTr="00CD6983">
        <w:tc>
          <w:tcPr>
            <w:tcW w:w="1838" w:type="dxa"/>
          </w:tcPr>
          <w:p w14:paraId="08D7F3B9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lastRenderedPageBreak/>
              <w:t>Attribute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name</w:t>
            </w:r>
            <w:proofErr w:type="spellEnd"/>
          </w:p>
        </w:tc>
        <w:tc>
          <w:tcPr>
            <w:tcW w:w="4820" w:type="dxa"/>
          </w:tcPr>
          <w:p w14:paraId="5FADA2BF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Description</w:t>
            </w:r>
            <w:proofErr w:type="spellEnd"/>
          </w:p>
        </w:tc>
        <w:tc>
          <w:tcPr>
            <w:tcW w:w="2404" w:type="dxa"/>
          </w:tcPr>
          <w:p w14:paraId="23496F7A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structure</w:t>
            </w:r>
            <w:proofErr w:type="spellEnd"/>
          </w:p>
        </w:tc>
      </w:tr>
      <w:tr w:rsidR="0076010A" w14:paraId="4B61216D" w14:textId="77777777" w:rsidTr="00CD6983">
        <w:tc>
          <w:tcPr>
            <w:tcW w:w="1838" w:type="dxa"/>
          </w:tcPr>
          <w:p w14:paraId="4CD0A831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qty-ashvt</w:t>
            </w:r>
            <w:proofErr w:type="spellEnd"/>
          </w:p>
        </w:tc>
        <w:tc>
          <w:tcPr>
            <w:tcW w:w="4820" w:type="dxa"/>
          </w:tcPr>
          <w:p w14:paraId="7BD1482C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Total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consumption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for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billing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electricity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supply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taking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into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account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the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shared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electricity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the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VT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tariff</w:t>
            </w:r>
            <w:proofErr w:type="spellEnd"/>
          </w:p>
        </w:tc>
        <w:tc>
          <w:tcPr>
            <w:tcW w:w="2404" w:type="dxa"/>
          </w:tcPr>
          <w:p w14:paraId="26CAC12A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qty_type_2</w:t>
            </w:r>
          </w:p>
        </w:tc>
      </w:tr>
      <w:tr w:rsidR="0076010A" w14:paraId="2A04873A" w14:textId="77777777" w:rsidTr="00CD6983">
        <w:tc>
          <w:tcPr>
            <w:tcW w:w="1838" w:type="dxa"/>
          </w:tcPr>
          <w:p w14:paraId="684C4323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qty-ashnt</w:t>
            </w:r>
            <w:proofErr w:type="spellEnd"/>
          </w:p>
        </w:tc>
        <w:tc>
          <w:tcPr>
            <w:tcW w:w="4820" w:type="dxa"/>
          </w:tcPr>
          <w:p w14:paraId="50B88F2C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Total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consumption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for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electricity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supply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billing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taking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into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account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the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shared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electricity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the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NT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tariff</w:t>
            </w:r>
            <w:proofErr w:type="spellEnd"/>
          </w:p>
        </w:tc>
        <w:tc>
          <w:tcPr>
            <w:tcW w:w="2404" w:type="dxa"/>
          </w:tcPr>
          <w:p w14:paraId="535975AE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qty_type_2</w:t>
            </w:r>
          </w:p>
        </w:tc>
      </w:tr>
    </w:tbl>
    <w:p w14:paraId="0AC48EF2" w14:textId="77777777" w:rsidR="0076010A" w:rsidRDefault="0076010A" w:rsidP="00E75578">
      <w:pPr>
        <w:jc w:val="both"/>
      </w:pPr>
    </w:p>
    <w:p w14:paraId="31AC8958" w14:textId="77777777" w:rsidR="00C812CE" w:rsidRDefault="00947BFA">
      <w:pPr>
        <w:jc w:val="both"/>
      </w:pPr>
      <w:proofErr w:type="spellStart"/>
      <w:r>
        <w:t>The</w:t>
      </w:r>
      <w:proofErr w:type="spellEnd"/>
      <w:r>
        <w:t xml:space="preserve"> DUFMO/PRICE/</w:t>
      </w:r>
      <w:proofErr w:type="spellStart"/>
      <w:r>
        <w:t>item</w:t>
      </w:r>
      <w:proofErr w:type="spellEnd"/>
      <w:r>
        <w:t xml:space="preserve"> </w:t>
      </w:r>
      <w:proofErr w:type="spellStart"/>
      <w:r>
        <w:t>enumeration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enumeration</w:t>
      </w:r>
      <w:proofErr w:type="spellEnd"/>
      <w:r>
        <w:t xml:space="preserve"> D003_NSI</w:t>
      </w:r>
      <w:r w:rsidR="009616F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010A" w14:paraId="2455339B" w14:textId="77777777" w:rsidTr="00ED6946">
        <w:tc>
          <w:tcPr>
            <w:tcW w:w="4531" w:type="dxa"/>
          </w:tcPr>
          <w:p w14:paraId="431DCDFC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Name of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enumeration</w:t>
            </w:r>
            <w:proofErr w:type="spellEnd"/>
          </w:p>
        </w:tc>
        <w:tc>
          <w:tcPr>
            <w:tcW w:w="4531" w:type="dxa"/>
          </w:tcPr>
          <w:p w14:paraId="69740E4B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Description</w:t>
            </w:r>
            <w:proofErr w:type="spellEnd"/>
          </w:p>
        </w:tc>
      </w:tr>
      <w:tr w:rsidR="0076010A" w14:paraId="67218EAB" w14:textId="77777777" w:rsidTr="00ED6946">
        <w:tc>
          <w:tcPr>
            <w:tcW w:w="4531" w:type="dxa"/>
          </w:tcPr>
          <w:p w14:paraId="73A98B69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D003_NSI</w:t>
            </w:r>
          </w:p>
        </w:tc>
        <w:tc>
          <w:tcPr>
            <w:tcW w:w="4531" w:type="dxa"/>
          </w:tcPr>
          <w:p w14:paraId="4A562DA2" w14:textId="77777777" w:rsidR="00C812CE" w:rsidRDefault="00947BFA">
            <w:pPr>
              <w:jc w:val="both"/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</w:pPr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Non-network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infrastructure</w:t>
            </w:r>
            <w:proofErr w:type="spellEnd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983">
              <w:rPr>
                <w:rFonts w:asciiTheme="minorHAnsi" w:hAnsiTheme="minorHAnsi"/>
                <w:kern w:val="2"/>
                <w:sz w:val="22"/>
                <w:szCs w:val="22"/>
                <w:lang w:eastAsia="en-US"/>
              </w:rPr>
              <w:t>fee</w:t>
            </w:r>
            <w:proofErr w:type="spellEnd"/>
          </w:p>
        </w:tc>
      </w:tr>
    </w:tbl>
    <w:p w14:paraId="0D6B28C4" w14:textId="77777777" w:rsidR="0076010A" w:rsidRDefault="0076010A" w:rsidP="00E75578">
      <w:pPr>
        <w:jc w:val="both"/>
      </w:pPr>
    </w:p>
    <w:p w14:paraId="6307973B" w14:textId="77777777" w:rsidR="00C812CE" w:rsidRDefault="00947BFA">
      <w:pPr>
        <w:jc w:val="both"/>
      </w:pPr>
      <w:r>
        <w:t xml:space="preserve">Sample export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OTE </w:t>
      </w:r>
      <w:proofErr w:type="spellStart"/>
      <w:r>
        <w:t>portal</w:t>
      </w:r>
      <w:proofErr w:type="spellEnd"/>
      <w:r>
        <w:t xml:space="preserve"> (DUF export to excel)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</w:t>
      </w:r>
      <w:proofErr w:type="spellStart"/>
      <w:r>
        <w:t>items</w:t>
      </w:r>
      <w:proofErr w:type="spellEnd"/>
    </w:p>
    <w:p w14:paraId="35419CD5" w14:textId="77777777" w:rsidR="0076010A" w:rsidRPr="0076010A" w:rsidRDefault="00CD6983" w:rsidP="00E75578">
      <w:pPr>
        <w:jc w:val="both"/>
      </w:pPr>
      <w:r>
        <w:object w:dxaOrig="1532" w:dyaOrig="991" w14:anchorId="3CAD9BDD">
          <v:shape id="_x0000_i1026" type="#_x0000_t75" style="width:78.65pt;height:50.35pt" o:ole="">
            <v:imagedata r:id="rId10" o:title=""/>
          </v:shape>
          <o:OLEObject Type="Embed" ProgID="Excel.Sheet.12" ShapeID="_x0000_i1026" DrawAspect="Icon" ObjectID="_1774935640" r:id="rId11"/>
        </w:object>
      </w:r>
    </w:p>
    <w:p w14:paraId="312A6E86" w14:textId="77777777" w:rsidR="00C812CE" w:rsidRDefault="00947BFA">
      <w:pPr>
        <w:pStyle w:val="Nadpis3"/>
        <w:jc w:val="both"/>
        <w:rPr>
          <w:b/>
          <w:bCs/>
        </w:rPr>
      </w:pPr>
      <w:bookmarkStart w:id="12" w:name="_Toc164159264"/>
      <w:proofErr w:type="spellStart"/>
      <w:r w:rsidRPr="00B00664">
        <w:rPr>
          <w:b/>
          <w:bCs/>
        </w:rPr>
        <w:t>Modification</w:t>
      </w:r>
      <w:proofErr w:type="spellEnd"/>
      <w:r w:rsidRPr="00B00664">
        <w:rPr>
          <w:b/>
          <w:bCs/>
        </w:rPr>
        <w:t xml:space="preserve"> of </w:t>
      </w:r>
      <w:proofErr w:type="spellStart"/>
      <w:r w:rsidRPr="00B00664">
        <w:rPr>
          <w:b/>
          <w:bCs/>
        </w:rPr>
        <w:t>the</w:t>
      </w:r>
      <w:proofErr w:type="spellEnd"/>
      <w:r w:rsidRPr="00B00664">
        <w:rPr>
          <w:b/>
          <w:bCs/>
        </w:rPr>
        <w:t xml:space="preserve"> </w:t>
      </w:r>
      <w:proofErr w:type="spellStart"/>
      <w:r w:rsidRPr="00B00664">
        <w:rPr>
          <w:b/>
          <w:bCs/>
        </w:rPr>
        <w:t>electronic</w:t>
      </w:r>
      <w:proofErr w:type="spellEnd"/>
      <w:r w:rsidRPr="00B00664">
        <w:rPr>
          <w:b/>
          <w:bCs/>
        </w:rPr>
        <w:t xml:space="preserve"> </w:t>
      </w:r>
      <w:proofErr w:type="spellStart"/>
      <w:r w:rsidRPr="00B00664">
        <w:rPr>
          <w:b/>
          <w:bCs/>
        </w:rPr>
        <w:t>aggregated</w:t>
      </w:r>
      <w:proofErr w:type="spellEnd"/>
      <w:r w:rsidRPr="00B00664">
        <w:rPr>
          <w:b/>
          <w:bCs/>
        </w:rPr>
        <w:t xml:space="preserve"> </w:t>
      </w:r>
      <w:proofErr w:type="spellStart"/>
      <w:r w:rsidRPr="00B00664">
        <w:rPr>
          <w:b/>
          <w:bCs/>
        </w:rPr>
        <w:t>invoice</w:t>
      </w:r>
      <w:proofErr w:type="spellEnd"/>
      <w:r w:rsidRPr="00B00664">
        <w:rPr>
          <w:b/>
          <w:bCs/>
        </w:rPr>
        <w:t xml:space="preserve"> in </w:t>
      </w:r>
      <w:proofErr w:type="spellStart"/>
      <w:r w:rsidRPr="00B00664">
        <w:rPr>
          <w:b/>
          <w:bCs/>
        </w:rPr>
        <w:t>accordance</w:t>
      </w:r>
      <w:proofErr w:type="spellEnd"/>
      <w:r w:rsidRPr="00B00664">
        <w:rPr>
          <w:b/>
          <w:bCs/>
        </w:rPr>
        <w:t xml:space="preserve"> </w:t>
      </w:r>
      <w:proofErr w:type="spellStart"/>
      <w:r w:rsidRPr="00B00664">
        <w:rPr>
          <w:b/>
          <w:bCs/>
        </w:rPr>
        <w:t>with</w:t>
      </w:r>
      <w:proofErr w:type="spellEnd"/>
      <w:r w:rsidRPr="00B00664">
        <w:rPr>
          <w:b/>
          <w:bCs/>
        </w:rPr>
        <w:t xml:space="preserve"> </w:t>
      </w:r>
      <w:proofErr w:type="spellStart"/>
      <w:r w:rsidRPr="00B00664">
        <w:rPr>
          <w:b/>
          <w:bCs/>
        </w:rPr>
        <w:t>the</w:t>
      </w:r>
      <w:proofErr w:type="spellEnd"/>
      <w:r w:rsidRPr="00B00664">
        <w:rPr>
          <w:b/>
          <w:bCs/>
        </w:rPr>
        <w:t xml:space="preserve"> DUFVO and DUFMO </w:t>
      </w:r>
      <w:proofErr w:type="spellStart"/>
      <w:r w:rsidRPr="00B00664">
        <w:rPr>
          <w:b/>
          <w:bCs/>
        </w:rPr>
        <w:t>modifications</w:t>
      </w:r>
      <w:bookmarkEnd w:id="12"/>
      <w:proofErr w:type="spellEnd"/>
    </w:p>
    <w:p w14:paraId="43DEC7AC" w14:textId="77777777" w:rsidR="00C812CE" w:rsidRDefault="00947BFA">
      <w:pPr>
        <w:jc w:val="both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in DUFVO and DUFMO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of </w:t>
      </w:r>
      <w:proofErr w:type="spellStart"/>
      <w:r>
        <w:t>Annex</w:t>
      </w:r>
      <w:proofErr w:type="spellEnd"/>
      <w:r>
        <w:t xml:space="preserve"> 20 to </w:t>
      </w:r>
      <w:proofErr w:type="spellStart"/>
      <w:r>
        <w:t>Decree</w:t>
      </w:r>
      <w:proofErr w:type="spellEnd"/>
      <w:r>
        <w:t xml:space="preserve"> </w:t>
      </w:r>
      <w:r w:rsidR="00C823F5">
        <w:t xml:space="preserve">No </w:t>
      </w:r>
      <w:r>
        <w:t xml:space="preserve">408/2015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in </w:t>
      </w:r>
      <w:proofErr w:type="spellStart"/>
      <w:r w:rsidR="004A1F9E">
        <w:t>the</w:t>
      </w:r>
      <w:proofErr w:type="spellEnd"/>
      <w:r w:rsidR="004A1F9E"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aggregated</w:t>
      </w:r>
      <w:proofErr w:type="spellEnd"/>
      <w:r>
        <w:t xml:space="preserve"> </w:t>
      </w:r>
      <w:proofErr w:type="spellStart"/>
      <w:r>
        <w:t>invoice</w:t>
      </w:r>
      <w:proofErr w:type="spellEnd"/>
      <w:r>
        <w:t>.</w:t>
      </w:r>
    </w:p>
    <w:p w14:paraId="549EE5C7" w14:textId="341770BF" w:rsidR="00C812CE" w:rsidRDefault="00947BFA">
      <w:pPr>
        <w:jc w:val="both"/>
      </w:pPr>
      <w:proofErr w:type="spellStart"/>
      <w:r w:rsidRPr="00506585">
        <w:rPr>
          <w:highlight w:val="yellow"/>
        </w:rPr>
        <w:t>The</w:t>
      </w:r>
      <w:proofErr w:type="spellEnd"/>
      <w:r w:rsidRPr="00506585">
        <w:rPr>
          <w:highlight w:val="yellow"/>
        </w:rPr>
        <w:t xml:space="preserve"> draft </w:t>
      </w:r>
      <w:proofErr w:type="spellStart"/>
      <w:r w:rsidRPr="00506585">
        <w:rPr>
          <w:highlight w:val="yellow"/>
        </w:rPr>
        <w:t>modifications</w:t>
      </w:r>
      <w:proofErr w:type="spellEnd"/>
      <w:r w:rsidRPr="00506585">
        <w:rPr>
          <w:highlight w:val="yellow"/>
        </w:rPr>
        <w:t xml:space="preserve"> </w:t>
      </w:r>
      <w:proofErr w:type="spellStart"/>
      <w:r w:rsidRPr="00506585">
        <w:rPr>
          <w:highlight w:val="yellow"/>
        </w:rPr>
        <w:t>will</w:t>
      </w:r>
      <w:proofErr w:type="spellEnd"/>
      <w:r w:rsidRPr="00506585">
        <w:rPr>
          <w:highlight w:val="yellow"/>
        </w:rPr>
        <w:t xml:space="preserve"> </w:t>
      </w:r>
      <w:proofErr w:type="spellStart"/>
      <w:r w:rsidRPr="00506585">
        <w:rPr>
          <w:highlight w:val="yellow"/>
        </w:rPr>
        <w:t>be</w:t>
      </w:r>
      <w:proofErr w:type="spellEnd"/>
      <w:r w:rsidRPr="00506585">
        <w:rPr>
          <w:highlight w:val="yellow"/>
        </w:rPr>
        <w:t xml:space="preserve"> </w:t>
      </w:r>
      <w:proofErr w:type="spellStart"/>
      <w:r w:rsidR="00CE520B">
        <w:rPr>
          <w:highlight w:val="yellow"/>
        </w:rPr>
        <w:t>published</w:t>
      </w:r>
      <w:proofErr w:type="spellEnd"/>
      <w:r w:rsidRPr="00506585">
        <w:rPr>
          <w:highlight w:val="yellow"/>
        </w:rPr>
        <w:t xml:space="preserve"> </w:t>
      </w:r>
      <w:proofErr w:type="spellStart"/>
      <w:r w:rsidR="00CD6983" w:rsidRPr="00506585">
        <w:rPr>
          <w:highlight w:val="yellow"/>
        </w:rPr>
        <w:t>later</w:t>
      </w:r>
      <w:proofErr w:type="spellEnd"/>
      <w:r w:rsidR="00C823F5" w:rsidRPr="00506585">
        <w:rPr>
          <w:highlight w:val="yellow"/>
        </w:rPr>
        <w:t>.</w:t>
      </w:r>
    </w:p>
    <w:p w14:paraId="6EE1EA64" w14:textId="77777777" w:rsidR="003E4398" w:rsidRDefault="003E4398" w:rsidP="00E75578">
      <w:pPr>
        <w:jc w:val="both"/>
      </w:pPr>
    </w:p>
    <w:p w14:paraId="6BE9FC21" w14:textId="77777777" w:rsidR="00C812CE" w:rsidRDefault="00947BFA">
      <w:pPr>
        <w:pStyle w:val="Nadpis3"/>
        <w:jc w:val="both"/>
        <w:rPr>
          <w:b/>
          <w:bCs/>
        </w:rPr>
      </w:pPr>
      <w:bookmarkStart w:id="13" w:name="_Toc164159265"/>
      <w:proofErr w:type="spellStart"/>
      <w:r w:rsidRPr="00CD6983">
        <w:rPr>
          <w:b/>
          <w:bCs/>
        </w:rPr>
        <w:t>Adjustment</w:t>
      </w:r>
      <w:proofErr w:type="spellEnd"/>
      <w:r w:rsidRPr="00CD6983">
        <w:rPr>
          <w:b/>
          <w:bCs/>
        </w:rPr>
        <w:t xml:space="preserve"> of </w:t>
      </w:r>
      <w:proofErr w:type="spellStart"/>
      <w:r w:rsidRPr="00CD6983">
        <w:rPr>
          <w:b/>
          <w:bCs/>
        </w:rPr>
        <w:t>controls</w:t>
      </w:r>
      <w:proofErr w:type="spellEnd"/>
      <w:r w:rsidRPr="00CD6983">
        <w:rPr>
          <w:b/>
          <w:bCs/>
        </w:rPr>
        <w:t xml:space="preserve"> </w:t>
      </w:r>
      <w:proofErr w:type="spellStart"/>
      <w:r w:rsidRPr="00CD6983">
        <w:rPr>
          <w:b/>
          <w:bCs/>
        </w:rPr>
        <w:t>for</w:t>
      </w:r>
      <w:proofErr w:type="spellEnd"/>
      <w:r w:rsidRPr="00CD6983">
        <w:rPr>
          <w:b/>
          <w:bCs/>
        </w:rPr>
        <w:t xml:space="preserve"> DUF </w:t>
      </w:r>
      <w:proofErr w:type="spellStart"/>
      <w:r w:rsidRPr="00CD6983">
        <w:rPr>
          <w:b/>
          <w:bCs/>
        </w:rPr>
        <w:t>intake</w:t>
      </w:r>
      <w:proofErr w:type="spellEnd"/>
      <w:r w:rsidRPr="00CD6983">
        <w:rPr>
          <w:b/>
          <w:bCs/>
        </w:rPr>
        <w:t xml:space="preserve"> in OTE</w:t>
      </w:r>
      <w:bookmarkEnd w:id="13"/>
    </w:p>
    <w:p w14:paraId="0A7A7D4C" w14:textId="77777777" w:rsidR="00C812CE" w:rsidRDefault="00947BFA">
      <w:pPr>
        <w:pStyle w:val="Odstavecseseznamem"/>
        <w:autoSpaceDE/>
        <w:autoSpaceDN/>
        <w:spacing w:after="200" w:line="276" w:lineRule="auto"/>
        <w:ind w:left="0"/>
        <w:contextualSpacing/>
        <w:jc w:val="both"/>
        <w:rPr>
          <w:rFonts w:asciiTheme="minorHAnsi" w:hAnsiTheme="minorHAnsi" w:cs="Aptos"/>
          <w:color w:val="000000"/>
          <w:sz w:val="22"/>
          <w:szCs w:val="22"/>
        </w:rPr>
      </w:pPr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In case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point of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consumption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is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not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included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in a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sharing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group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,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difference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between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DUF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value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and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profile </w:t>
      </w:r>
      <w:proofErr w:type="spellStart"/>
      <w:r w:rsidR="00CD6983">
        <w:rPr>
          <w:rFonts w:asciiTheme="minorHAnsi" w:hAnsiTheme="minorHAnsi" w:cs="Aptos"/>
          <w:color w:val="000000"/>
          <w:sz w:val="22"/>
          <w:szCs w:val="22"/>
        </w:rPr>
        <w:t>for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 a </w:t>
      </w:r>
      <w:proofErr w:type="spellStart"/>
      <w:r w:rsidR="00CD6983">
        <w:rPr>
          <w:rFonts w:asciiTheme="minorHAnsi" w:hAnsiTheme="minorHAnsi" w:cs="Aptos"/>
          <w:color w:val="000000"/>
          <w:sz w:val="22"/>
          <w:szCs w:val="22"/>
        </w:rPr>
        <w:t>calendar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="00CD6983">
        <w:rPr>
          <w:rFonts w:asciiTheme="minorHAnsi" w:hAnsiTheme="minorHAnsi" w:cs="Aptos"/>
          <w:color w:val="000000"/>
          <w:sz w:val="22"/>
          <w:szCs w:val="22"/>
        </w:rPr>
        <w:t>month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="00CD6983">
        <w:rPr>
          <w:rFonts w:asciiTheme="minorHAnsi" w:hAnsiTheme="minorHAnsi" w:cs="Aptos"/>
          <w:color w:val="000000"/>
          <w:sz w:val="22"/>
          <w:szCs w:val="22"/>
        </w:rPr>
        <w:t>can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="00CD6983">
        <w:rPr>
          <w:rFonts w:asciiTheme="minorHAnsi" w:hAnsiTheme="minorHAnsi" w:cs="Aptos"/>
          <w:color w:val="000000"/>
          <w:sz w:val="22"/>
          <w:szCs w:val="22"/>
        </w:rPr>
        <w:t>take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 a maximum </w:t>
      </w:r>
      <w:proofErr w:type="spellStart"/>
      <w:r w:rsidR="00CD6983">
        <w:rPr>
          <w:rFonts w:asciiTheme="minorHAnsi" w:hAnsiTheme="minorHAnsi" w:cs="Aptos"/>
          <w:color w:val="000000"/>
          <w:sz w:val="22"/>
          <w:szCs w:val="22"/>
        </w:rPr>
        <w:t>value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>:</w:t>
      </w:r>
    </w:p>
    <w:p w14:paraId="1825711A" w14:textId="77777777" w:rsidR="00C812CE" w:rsidRDefault="00947BFA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="Aptos"/>
          <w:color w:val="000000"/>
          <w:sz w:val="22"/>
          <w:szCs w:val="22"/>
        </w:rPr>
      </w:pPr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15 kWh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for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type A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metering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>,</w:t>
      </w:r>
    </w:p>
    <w:p w14:paraId="6F70B787" w14:textId="77777777" w:rsidR="00C812CE" w:rsidRDefault="00947BFA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="Aptos"/>
          <w:color w:val="000000"/>
          <w:sz w:val="22"/>
          <w:szCs w:val="22"/>
        </w:rPr>
      </w:pPr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2 kWh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for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Type B and </w:t>
      </w:r>
      <w:r>
        <w:rPr>
          <w:rFonts w:asciiTheme="minorHAnsi" w:hAnsiTheme="minorHAnsi" w:cs="Aptos"/>
          <w:color w:val="000000"/>
          <w:sz w:val="22"/>
          <w:szCs w:val="22"/>
        </w:rPr>
        <w:t xml:space="preserve">Type </w:t>
      </w:r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C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measurements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of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categories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C1, C2, C3. </w:t>
      </w:r>
    </w:p>
    <w:p w14:paraId="523DA204" w14:textId="77777777" w:rsidR="00C812CE" w:rsidRDefault="00947BFA">
      <w:pPr>
        <w:spacing w:after="200" w:line="276" w:lineRule="auto"/>
        <w:contextualSpacing/>
        <w:jc w:val="both"/>
        <w:rPr>
          <w:rFonts w:cs="Aptos"/>
          <w:color w:val="000000"/>
          <w:kern w:val="0"/>
          <w:lang w:eastAsia="cs-CZ"/>
        </w:rPr>
      </w:pPr>
      <w:r w:rsidRPr="00DE59DA">
        <w:rPr>
          <w:rFonts w:cs="Aptos"/>
          <w:color w:val="000000"/>
          <w:kern w:val="0"/>
          <w:lang w:eastAsia="cs-CZ"/>
        </w:rPr>
        <w:t xml:space="preserve">In case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the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check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is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performed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over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DUFMO</w:t>
      </w:r>
      <w:r w:rsidR="00CD6983" w:rsidRPr="00DE59DA">
        <w:rPr>
          <w:rFonts w:cs="Aptos"/>
          <w:color w:val="000000"/>
          <w:kern w:val="0"/>
          <w:lang w:eastAsia="cs-CZ"/>
        </w:rPr>
        <w:t xml:space="preserve">, </w:t>
      </w:r>
      <w:proofErr w:type="spellStart"/>
      <w:r w:rsidR="00CD6983" w:rsidRPr="00DE59DA">
        <w:rPr>
          <w:rFonts w:cs="Aptos"/>
          <w:color w:val="000000"/>
          <w:kern w:val="0"/>
          <w:lang w:eastAsia="cs-CZ"/>
        </w:rPr>
        <w:t>the</w:t>
      </w:r>
      <w:proofErr w:type="spellEnd"/>
      <w:r w:rsidR="00CD6983" w:rsidRPr="00DE59DA">
        <w:rPr>
          <w:rFonts w:cs="Aptos"/>
          <w:color w:val="000000"/>
          <w:kern w:val="0"/>
          <w:lang w:eastAsia="cs-CZ"/>
        </w:rPr>
        <w:t xml:space="preserve"> "</w:t>
      </w:r>
      <w:r w:rsidRPr="00DE59DA">
        <w:rPr>
          <w:rFonts w:cs="Aptos"/>
          <w:color w:val="000000"/>
          <w:kern w:val="0"/>
          <w:lang w:eastAsia="cs-CZ"/>
        </w:rPr>
        <w:t xml:space="preserve">sum of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measurements</w:t>
      </w:r>
      <w:proofErr w:type="spellEnd"/>
      <w:r w:rsidR="00CD6983" w:rsidRPr="00DE59DA">
        <w:rPr>
          <w:rFonts w:cs="Aptos"/>
          <w:color w:val="000000"/>
          <w:kern w:val="0"/>
          <w:lang w:eastAsia="cs-CZ"/>
        </w:rPr>
        <w:t xml:space="preserve">" </w:t>
      </w:r>
      <w:proofErr w:type="spellStart"/>
      <w:r w:rsidR="00C823F5" w:rsidRPr="00DE59DA">
        <w:rPr>
          <w:rFonts w:cs="Aptos"/>
          <w:color w:val="000000"/>
          <w:kern w:val="0"/>
          <w:lang w:eastAsia="cs-CZ"/>
        </w:rPr>
        <w:t>is</w:t>
      </w:r>
      <w:proofErr w:type="spellEnd"/>
      <w:r w:rsidR="00C823F5"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checked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against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the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r w:rsidR="00CD6983" w:rsidRPr="00DE59DA">
        <w:rPr>
          <w:rFonts w:cs="Aptos"/>
          <w:color w:val="000000"/>
          <w:kern w:val="0"/>
          <w:lang w:eastAsia="cs-CZ"/>
        </w:rPr>
        <w:t>"</w:t>
      </w:r>
      <w:proofErr w:type="spellStart"/>
      <w:r w:rsidRPr="00DE59DA">
        <w:rPr>
          <w:rFonts w:cs="Aptos"/>
          <w:color w:val="000000"/>
          <w:kern w:val="0"/>
          <w:lang w:eastAsia="cs-CZ"/>
        </w:rPr>
        <w:t>qty-VT+qty-NT</w:t>
      </w:r>
      <w:proofErr w:type="spellEnd"/>
      <w:r w:rsidR="00CD6983" w:rsidRPr="00DE59DA">
        <w:rPr>
          <w:rFonts w:cs="Aptos"/>
          <w:color w:val="000000"/>
          <w:kern w:val="0"/>
          <w:lang w:eastAsia="cs-CZ"/>
        </w:rPr>
        <w:t xml:space="preserve">"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intended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for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distribution</w:t>
      </w:r>
      <w:proofErr w:type="spellEnd"/>
      <w:r w:rsidRPr="00DE59DA">
        <w:rPr>
          <w:rFonts w:cs="Aptos"/>
          <w:color w:val="000000"/>
          <w:kern w:val="0"/>
          <w:lang w:eastAsia="cs-CZ"/>
        </w:rPr>
        <w:t xml:space="preserve"> </w:t>
      </w:r>
      <w:proofErr w:type="spellStart"/>
      <w:r w:rsidRPr="00DE59DA">
        <w:rPr>
          <w:rFonts w:cs="Aptos"/>
          <w:color w:val="000000"/>
          <w:kern w:val="0"/>
          <w:lang w:eastAsia="cs-CZ"/>
        </w:rPr>
        <w:t>billing</w:t>
      </w:r>
      <w:proofErr w:type="spellEnd"/>
      <w:r w:rsidRPr="00DE59DA">
        <w:rPr>
          <w:rFonts w:cs="Aptos"/>
          <w:color w:val="000000"/>
          <w:kern w:val="0"/>
          <w:lang w:eastAsia="cs-CZ"/>
        </w:rPr>
        <w:t>.</w:t>
      </w:r>
    </w:p>
    <w:p w14:paraId="217D438E" w14:textId="77777777" w:rsidR="00C812CE" w:rsidRDefault="00947BFA">
      <w:pPr>
        <w:pStyle w:val="Odstavecseseznamem"/>
        <w:autoSpaceDE/>
        <w:autoSpaceDN/>
        <w:spacing w:after="200" w:line="276" w:lineRule="auto"/>
        <w:ind w:left="0"/>
        <w:contextualSpacing/>
        <w:jc w:val="both"/>
        <w:rPr>
          <w:rFonts w:asciiTheme="minorHAnsi" w:hAnsiTheme="minorHAnsi" w:cs="Aptos"/>
          <w:color w:val="000000"/>
          <w:sz w:val="22"/>
          <w:szCs w:val="22"/>
        </w:rPr>
      </w:pPr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In case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sampling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point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is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classified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in a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sharing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group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,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then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CD6983">
        <w:rPr>
          <w:rFonts w:asciiTheme="minorHAnsi" w:hAnsiTheme="minorHAnsi" w:cs="Aptos"/>
          <w:color w:val="000000"/>
          <w:sz w:val="22"/>
          <w:szCs w:val="22"/>
        </w:rPr>
        <w:t>"</w:t>
      </w:r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sum of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="00ED60B3">
        <w:rPr>
          <w:rFonts w:asciiTheme="minorHAnsi" w:hAnsiTheme="minorHAnsi" w:cs="Aptos"/>
          <w:color w:val="000000"/>
          <w:sz w:val="22"/>
          <w:szCs w:val="22"/>
        </w:rPr>
        <w:t>sharing-aware</w:t>
      </w:r>
      <w:proofErr w:type="spellEnd"/>
      <w:r w:rsidR="00ED60B3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="00ED60B3">
        <w:rPr>
          <w:rFonts w:asciiTheme="minorHAnsi" w:hAnsiTheme="minorHAnsi" w:cs="Aptos"/>
          <w:color w:val="000000"/>
          <w:sz w:val="22"/>
          <w:szCs w:val="22"/>
        </w:rPr>
        <w:t>metering</w:t>
      </w:r>
      <w:proofErr w:type="spellEnd"/>
      <w:r w:rsidR="00ED60B3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Pr="00FD7D3F">
        <w:rPr>
          <w:rFonts w:asciiTheme="minorHAnsi" w:hAnsiTheme="minorHAnsi" w:cs="Aptos"/>
          <w:color w:val="000000"/>
          <w:sz w:val="22"/>
          <w:szCs w:val="22"/>
        </w:rPr>
        <w:t>profile</w:t>
      </w:r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" </w:t>
      </w:r>
      <w:r w:rsidR="00ED60B3">
        <w:rPr>
          <w:rFonts w:asciiTheme="minorHAnsi" w:hAnsiTheme="minorHAnsi" w:cs="Aptos"/>
          <w:color w:val="000000"/>
          <w:sz w:val="22"/>
          <w:szCs w:val="22"/>
        </w:rPr>
        <w:t xml:space="preserve">(S </w:t>
      </w:r>
      <w:proofErr w:type="spellStart"/>
      <w:r w:rsidR="00ED60B3">
        <w:rPr>
          <w:rFonts w:asciiTheme="minorHAnsi" w:hAnsiTheme="minorHAnsi" w:cs="Aptos"/>
          <w:color w:val="000000"/>
          <w:sz w:val="22"/>
          <w:szCs w:val="22"/>
        </w:rPr>
        <w:t>profiles</w:t>
      </w:r>
      <w:proofErr w:type="spellEnd"/>
      <w:r w:rsidR="00ED60B3">
        <w:rPr>
          <w:rFonts w:asciiTheme="minorHAnsi" w:hAnsiTheme="minorHAnsi" w:cs="Aptos"/>
          <w:color w:val="000000"/>
          <w:sz w:val="22"/>
          <w:szCs w:val="22"/>
        </w:rPr>
        <w:t xml:space="preserve">)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is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checked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against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 w:rsidRPr="00FD7D3F">
        <w:rPr>
          <w:rFonts w:asciiTheme="minorHAnsi" w:hAnsiTheme="minorHAnsi" w:cs="Aptos"/>
          <w:color w:val="000000"/>
          <w:sz w:val="22"/>
          <w:szCs w:val="22"/>
        </w:rPr>
        <w:t>value</w:t>
      </w:r>
      <w:proofErr w:type="spellEnd"/>
      <w:r w:rsidRPr="00FD7D3F"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CD6983">
        <w:rPr>
          <w:rFonts w:asciiTheme="minorHAnsi" w:hAnsiTheme="minorHAnsi" w:cs="Aptos"/>
          <w:color w:val="000000"/>
          <w:sz w:val="22"/>
          <w:szCs w:val="22"/>
        </w:rPr>
        <w:t>"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qty-ash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"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for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DUFVO and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against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sum of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the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values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</w:t>
      </w:r>
      <w:r w:rsidR="00CD6983">
        <w:rPr>
          <w:rFonts w:asciiTheme="minorHAnsi" w:hAnsiTheme="minorHAnsi" w:cs="Aptos"/>
          <w:color w:val="000000"/>
          <w:sz w:val="22"/>
          <w:szCs w:val="22"/>
        </w:rPr>
        <w:t>"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qty-ashvt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+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qty-ashnt</w:t>
      </w:r>
      <w:proofErr w:type="spellEnd"/>
      <w:r w:rsidR="00CD6983">
        <w:rPr>
          <w:rFonts w:asciiTheme="minorHAnsi" w:hAnsiTheme="minorHAnsi" w:cs="Aptos"/>
          <w:color w:val="000000"/>
          <w:sz w:val="22"/>
          <w:szCs w:val="22"/>
        </w:rPr>
        <w:t xml:space="preserve">" </w:t>
      </w:r>
      <w:proofErr w:type="spellStart"/>
      <w:r>
        <w:rPr>
          <w:rFonts w:asciiTheme="minorHAnsi" w:hAnsiTheme="minorHAnsi" w:cs="Aptos"/>
          <w:color w:val="000000"/>
          <w:sz w:val="22"/>
          <w:szCs w:val="22"/>
        </w:rPr>
        <w:t>for</w:t>
      </w:r>
      <w:proofErr w:type="spellEnd"/>
      <w:r>
        <w:rPr>
          <w:rFonts w:asciiTheme="minorHAnsi" w:hAnsiTheme="minorHAnsi" w:cs="Aptos"/>
          <w:color w:val="000000"/>
          <w:sz w:val="22"/>
          <w:szCs w:val="22"/>
        </w:rPr>
        <w:t xml:space="preserve"> DUFMO.</w:t>
      </w:r>
    </w:p>
    <w:p w14:paraId="5D9558BB" w14:textId="77777777" w:rsidR="00176E64" w:rsidRPr="00176E64" w:rsidRDefault="00176E64" w:rsidP="00E75578">
      <w:pPr>
        <w:jc w:val="both"/>
      </w:pPr>
    </w:p>
    <w:p w14:paraId="4579D5F9" w14:textId="77777777" w:rsidR="00C812CE" w:rsidRDefault="00947BFA">
      <w:pPr>
        <w:pStyle w:val="Nadpis2"/>
        <w:numPr>
          <w:ilvl w:val="0"/>
          <w:numId w:val="3"/>
        </w:numPr>
        <w:jc w:val="both"/>
        <w:rPr>
          <w:b/>
          <w:bCs/>
          <w:u w:val="single"/>
        </w:rPr>
      </w:pPr>
      <w:bookmarkStart w:id="14" w:name="_Toc164159266"/>
      <w:proofErr w:type="spellStart"/>
      <w:r w:rsidRPr="00B00664">
        <w:rPr>
          <w:b/>
          <w:bCs/>
          <w:u w:val="single"/>
        </w:rPr>
        <w:t>Modification</w:t>
      </w:r>
      <w:proofErr w:type="spellEnd"/>
      <w:r w:rsidRPr="00B00664">
        <w:rPr>
          <w:b/>
          <w:bCs/>
          <w:u w:val="single"/>
        </w:rPr>
        <w:t xml:space="preserve"> of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statement</w:t>
      </w:r>
      <w:proofErr w:type="spellEnd"/>
      <w:r w:rsidRPr="00B00664">
        <w:rPr>
          <w:b/>
          <w:bCs/>
          <w:u w:val="single"/>
        </w:rPr>
        <w:t xml:space="preserve"> </w:t>
      </w:r>
      <w:proofErr w:type="spellStart"/>
      <w:r w:rsidRPr="00B00664">
        <w:rPr>
          <w:b/>
          <w:bCs/>
          <w:u w:val="single"/>
        </w:rPr>
        <w:t>according</w:t>
      </w:r>
      <w:proofErr w:type="spellEnd"/>
      <w:r w:rsidRPr="00B00664">
        <w:rPr>
          <w:b/>
          <w:bCs/>
          <w:u w:val="single"/>
        </w:rPr>
        <w:t xml:space="preserve"> to </w:t>
      </w:r>
      <w:proofErr w:type="spellStart"/>
      <w:r w:rsidRPr="00B00664">
        <w:rPr>
          <w:b/>
          <w:bCs/>
          <w:u w:val="single"/>
        </w:rPr>
        <w:t>Annexes</w:t>
      </w:r>
      <w:proofErr w:type="spellEnd"/>
      <w:r w:rsidRPr="00B00664">
        <w:rPr>
          <w:b/>
          <w:bCs/>
          <w:u w:val="single"/>
        </w:rPr>
        <w:t xml:space="preserve"> 11 </w:t>
      </w:r>
      <w:r w:rsidR="00176E64" w:rsidRPr="00B00664">
        <w:rPr>
          <w:b/>
          <w:bCs/>
          <w:u w:val="single"/>
        </w:rPr>
        <w:t xml:space="preserve">to </w:t>
      </w:r>
      <w:r w:rsidRPr="00B00664">
        <w:rPr>
          <w:b/>
          <w:bCs/>
          <w:u w:val="single"/>
        </w:rPr>
        <w:t xml:space="preserve">16 of </w:t>
      </w:r>
      <w:proofErr w:type="spellStart"/>
      <w:r w:rsidRPr="00B00664">
        <w:rPr>
          <w:b/>
          <w:bCs/>
          <w:u w:val="single"/>
        </w:rPr>
        <w:t>the</w:t>
      </w:r>
      <w:proofErr w:type="spellEnd"/>
      <w:r w:rsidRPr="00B00664">
        <w:rPr>
          <w:b/>
          <w:bCs/>
          <w:u w:val="single"/>
        </w:rPr>
        <w:t xml:space="preserve"> </w:t>
      </w:r>
      <w:r w:rsidR="00176E64" w:rsidRPr="00B00664">
        <w:rPr>
          <w:b/>
          <w:bCs/>
          <w:u w:val="single"/>
        </w:rPr>
        <w:t>PTE</w:t>
      </w:r>
      <w:bookmarkEnd w:id="14"/>
    </w:p>
    <w:p w14:paraId="6E129BB4" w14:textId="77777777" w:rsidR="00C812CE" w:rsidRDefault="00947BFA">
      <w:pPr>
        <w:jc w:val="both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draft </w:t>
      </w:r>
      <w:proofErr w:type="spellStart"/>
      <w:r>
        <w:t>modifications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to </w:t>
      </w:r>
      <w:proofErr w:type="spellStart"/>
      <w:r>
        <w:t>Decree</w:t>
      </w:r>
      <w:proofErr w:type="spellEnd"/>
      <w:r>
        <w:t xml:space="preserve"> No 408/2015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Annexes</w:t>
      </w:r>
      <w:proofErr w:type="spellEnd"/>
      <w:r>
        <w:t xml:space="preserve"> 11 </w:t>
      </w:r>
      <w:r w:rsidR="00C823F5">
        <w:t xml:space="preserve">to </w:t>
      </w:r>
      <w:r>
        <w:t>16</w:t>
      </w:r>
      <w:r w:rsidR="00C823F5">
        <w:t>.</w:t>
      </w:r>
      <w:r>
        <w:t xml:space="preserve"> </w:t>
      </w:r>
      <w:proofErr w:type="spellStart"/>
      <w:r>
        <w:t>For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draft </w:t>
      </w:r>
      <w:proofErr w:type="spellStart"/>
      <w:r w:rsidR="00CD6983">
        <w:t>amendment</w:t>
      </w:r>
      <w:proofErr w:type="spellEnd"/>
      <w:r w:rsidR="00CD6983">
        <w:t xml:space="preserve"> to </w:t>
      </w:r>
      <w:proofErr w:type="spellStart"/>
      <w:r w:rsidR="00CD6983">
        <w:t>the</w:t>
      </w:r>
      <w:proofErr w:type="spellEnd"/>
      <w:r w:rsidR="00CD6983">
        <w:t xml:space="preserve"> </w:t>
      </w:r>
      <w:proofErr w:type="spellStart"/>
      <w:r w:rsidR="00CD6983">
        <w:t>electricity</w:t>
      </w:r>
      <w:proofErr w:type="spellEnd"/>
      <w:r w:rsidR="00CD6983">
        <w:t xml:space="preserve"> market </w:t>
      </w:r>
      <w:proofErr w:type="spellStart"/>
      <w:r w:rsidR="00CD6983">
        <w:t>rules</w:t>
      </w:r>
      <w:proofErr w:type="spellEnd"/>
      <w:r w:rsidR="00CD6983">
        <w:t xml:space="preserve"> </w:t>
      </w:r>
      <w:proofErr w:type="spellStart"/>
      <w:r w:rsidR="00266A04">
        <w:t>entering</w:t>
      </w:r>
      <w:proofErr w:type="spellEnd"/>
      <w:r w:rsidR="00266A04">
        <w:t xml:space="preserve"> </w:t>
      </w:r>
      <w:proofErr w:type="spellStart"/>
      <w:r w:rsidR="00266A04">
        <w:t>the</w:t>
      </w:r>
      <w:proofErr w:type="spellEnd"/>
      <w:r w:rsidR="00266A04">
        <w:t xml:space="preserve"> public </w:t>
      </w:r>
      <w:proofErr w:type="spellStart"/>
      <w:r w:rsidR="00266A04">
        <w:t>consultation</w:t>
      </w:r>
      <w:proofErr w:type="spellEnd"/>
      <w:r w:rsidR="00266A04">
        <w:t xml:space="preserve"> </w:t>
      </w:r>
      <w:proofErr w:type="spellStart"/>
      <w:r w:rsidR="00266A04">
        <w:t>process</w:t>
      </w:r>
      <w:proofErr w:type="spellEnd"/>
      <w:r w:rsidR="00266A04">
        <w:t xml:space="preserve">: </w:t>
      </w:r>
      <w:hyperlink r:id="rId12" w:history="1">
        <w:r w:rsidR="00FB5B25" w:rsidRPr="000A6A09">
          <w:rPr>
            <w:rStyle w:val="Hypertextovodkaz"/>
          </w:rPr>
          <w:t>https://eru.gov.cz/navrh-novely-vyhlasky-o-pravidlech-trhu-s-elektrinou-0</w:t>
        </w:r>
      </w:hyperlink>
      <w:r w:rsidR="00C823F5">
        <w:t xml:space="preserve"> .</w:t>
      </w:r>
    </w:p>
    <w:sectPr w:rsidR="00C812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7121" w14:textId="77777777" w:rsidR="00CD5049" w:rsidRDefault="00CD5049" w:rsidP="00B63660">
      <w:pPr>
        <w:spacing w:after="0" w:line="240" w:lineRule="auto"/>
      </w:pPr>
      <w:r>
        <w:separator/>
      </w:r>
    </w:p>
  </w:endnote>
  <w:endnote w:type="continuationSeparator" w:id="0">
    <w:p w14:paraId="11DD7778" w14:textId="77777777" w:rsidR="00CD5049" w:rsidRDefault="00CD5049" w:rsidP="00B6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5BFD" w14:textId="77777777" w:rsidR="00B63660" w:rsidRDefault="00B636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8940" w14:textId="77777777" w:rsidR="00B63660" w:rsidRDefault="00B636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FB77" w14:textId="77777777" w:rsidR="00B63660" w:rsidRDefault="00B63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204B" w14:textId="77777777" w:rsidR="00CD5049" w:rsidRDefault="00CD5049" w:rsidP="00B63660">
      <w:pPr>
        <w:spacing w:after="0" w:line="240" w:lineRule="auto"/>
      </w:pPr>
      <w:r>
        <w:separator/>
      </w:r>
    </w:p>
  </w:footnote>
  <w:footnote w:type="continuationSeparator" w:id="0">
    <w:p w14:paraId="7FC57896" w14:textId="77777777" w:rsidR="00CD5049" w:rsidRDefault="00CD5049" w:rsidP="00B6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A929" w14:textId="77777777" w:rsidR="00B63660" w:rsidRDefault="00B63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150B" w14:textId="77777777" w:rsidR="00B63660" w:rsidRDefault="00B636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DAF9" w14:textId="77777777" w:rsidR="00B63660" w:rsidRDefault="00B63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080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4C4E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8818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460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783070583">
    <w:abstractNumId w:val="3"/>
  </w:num>
  <w:num w:numId="2" w16cid:durableId="971911645">
    <w:abstractNumId w:val="2"/>
  </w:num>
  <w:num w:numId="3" w16cid:durableId="589236510">
    <w:abstractNumId w:val="1"/>
  </w:num>
  <w:num w:numId="4" w16cid:durableId="164266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8"/>
    <w:rsid w:val="00043F32"/>
    <w:rsid w:val="000A6A09"/>
    <w:rsid w:val="000C6912"/>
    <w:rsid w:val="000F5874"/>
    <w:rsid w:val="00176E64"/>
    <w:rsid w:val="0026336A"/>
    <w:rsid w:val="00266A04"/>
    <w:rsid w:val="00270B2F"/>
    <w:rsid w:val="002E348F"/>
    <w:rsid w:val="003B3D9F"/>
    <w:rsid w:val="003E4398"/>
    <w:rsid w:val="00476263"/>
    <w:rsid w:val="0048661F"/>
    <w:rsid w:val="004A1F9E"/>
    <w:rsid w:val="00506585"/>
    <w:rsid w:val="00540064"/>
    <w:rsid w:val="005474B0"/>
    <w:rsid w:val="005A0211"/>
    <w:rsid w:val="005E6992"/>
    <w:rsid w:val="0063322B"/>
    <w:rsid w:val="00650A58"/>
    <w:rsid w:val="006A00D1"/>
    <w:rsid w:val="0072348C"/>
    <w:rsid w:val="0076010A"/>
    <w:rsid w:val="007A423F"/>
    <w:rsid w:val="007A4BDE"/>
    <w:rsid w:val="007D37CC"/>
    <w:rsid w:val="008364D3"/>
    <w:rsid w:val="008F79BB"/>
    <w:rsid w:val="0094608C"/>
    <w:rsid w:val="00947BFA"/>
    <w:rsid w:val="0095269A"/>
    <w:rsid w:val="009616FA"/>
    <w:rsid w:val="009677F7"/>
    <w:rsid w:val="00A21116"/>
    <w:rsid w:val="00AB27DD"/>
    <w:rsid w:val="00AD180A"/>
    <w:rsid w:val="00B00664"/>
    <w:rsid w:val="00B63660"/>
    <w:rsid w:val="00C10748"/>
    <w:rsid w:val="00C43756"/>
    <w:rsid w:val="00C812CE"/>
    <w:rsid w:val="00C823F5"/>
    <w:rsid w:val="00CD5049"/>
    <w:rsid w:val="00CD6983"/>
    <w:rsid w:val="00CE520B"/>
    <w:rsid w:val="00CF5F5F"/>
    <w:rsid w:val="00D803AF"/>
    <w:rsid w:val="00DA61F8"/>
    <w:rsid w:val="00DE59DA"/>
    <w:rsid w:val="00E55010"/>
    <w:rsid w:val="00E575AB"/>
    <w:rsid w:val="00E67982"/>
    <w:rsid w:val="00E75578"/>
    <w:rsid w:val="00ED60B3"/>
    <w:rsid w:val="00ED6946"/>
    <w:rsid w:val="00F22383"/>
    <w:rsid w:val="00F70839"/>
    <w:rsid w:val="00F71A9D"/>
    <w:rsid w:val="00FB5B25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CC40C95"/>
  <w14:defaultImageDpi w14:val="0"/>
  <w15:docId w15:val="{215E6E59-F4C1-453D-9731-A2DAA448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50A5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A58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269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0A58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A58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269A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650A58"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423F"/>
    <w:pPr>
      <w:autoSpaceDE w:val="0"/>
      <w:autoSpaceDN w:val="0"/>
      <w:spacing w:after="0" w:line="240" w:lineRule="auto"/>
      <w:ind w:left="720"/>
    </w:pPr>
    <w:rPr>
      <w:rFonts w:ascii="Times New Roman" w:hAnsi="Times New Roman"/>
      <w:kern w:val="0"/>
      <w:sz w:val="23"/>
      <w:szCs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A423F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7A423F"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23F"/>
    <w:rPr>
      <w:rFonts w:ascii="Times New Roman" w:hAnsi="Times New Roman" w:cs="Times New Roman"/>
      <w:kern w:val="0"/>
      <w:sz w:val="20"/>
      <w:szCs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1F8"/>
    <w:pPr>
      <w:autoSpaceDE/>
      <w:autoSpaceDN/>
      <w:spacing w:after="160"/>
    </w:pPr>
    <w:rPr>
      <w:rFonts w:asciiTheme="minorHAnsi" w:hAnsiTheme="minorHAns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1F8"/>
    <w:rPr>
      <w:rFonts w:ascii="Times New Roman" w:hAnsi="Times New Roman" w:cs="Times New Roman"/>
      <w:b/>
      <w:bCs/>
      <w:kern w:val="0"/>
      <w:sz w:val="20"/>
      <w:szCs w:val="20"/>
      <w:lang w:val="x-none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6010A"/>
    <w:pPr>
      <w:outlineLvl w:val="9"/>
    </w:pPr>
    <w:rPr>
      <w:kern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6010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6010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6010A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6010A"/>
    <w:rPr>
      <w:rFonts w:cs="Times New Roman"/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63660"/>
    <w:pPr>
      <w:spacing w:after="0" w:line="240" w:lineRule="auto"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B6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66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6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660"/>
    <w:rPr>
      <w:rFonts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FB5B25"/>
    <w:rPr>
      <w:rFonts w:cs="Times New Roman"/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180A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u.gov.cz/navrh-novely-vyhlasky-o-pravidlech-trhu-s-elektrinou-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2C66-8729-4A85-A54A-8ABF966F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1899</Words>
  <Characters>10977</Characters>
  <Application>Microsoft Office Word</Application>
  <DocSecurity>0</DocSecurity>
  <Lines>91</Lines>
  <Paragraphs>25</Paragraphs>
  <ScaleCrop>false</ScaleCrop>
  <Company>OTE a.s.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Kobliha, Jan</dc:creator>
  <cp:keywords>, docId:5B7396EC45643BF28619A58174444CD3</cp:keywords>
  <dc:description/>
  <cp:lastModifiedBy>Kobliha, Jan</cp:lastModifiedBy>
  <cp:revision>2</cp:revision>
  <dcterms:created xsi:type="dcterms:W3CDTF">2024-04-18T06:54:00Z</dcterms:created>
  <dcterms:modified xsi:type="dcterms:W3CDTF">2024-04-18T06:54:00Z</dcterms:modified>
</cp:coreProperties>
</file>