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27F" w:rsidRDefault="0051727F" w:rsidP="00BB3758">
      <w:pPr>
        <w:pStyle w:val="Nzev"/>
      </w:pPr>
      <w:bookmarkStart w:id="0" w:name="_Toc280612922"/>
      <w:r>
        <w:t>Elektronická faktura</w:t>
      </w:r>
      <w:bookmarkEnd w:id="0"/>
      <w:r>
        <w:t xml:space="preserve"> -  plyn</w:t>
      </w:r>
    </w:p>
    <w:p w:rsidR="0051727F" w:rsidRDefault="0051727F" w:rsidP="0051727F">
      <w:r>
        <w:t xml:space="preserve">Pro elektronickou fakturu pro oblast plynu bude vytvořen nový formát CDSGASINVOICE (obdoba CDSINVOICE pro elektřinu). Zprávy ve formátu CDSGASINVOICE se budou využívat </w:t>
      </w:r>
    </w:p>
    <w:p w:rsidR="0051727F" w:rsidRDefault="0051727F" w:rsidP="0051727F">
      <w:pPr>
        <w:numPr>
          <w:ilvl w:val="0"/>
          <w:numId w:val="8"/>
        </w:numPr>
        <w:overflowPunct w:val="0"/>
        <w:adjustRightInd w:val="0"/>
        <w:spacing w:after="120"/>
        <w:jc w:val="both"/>
        <w:textAlignment w:val="baseline"/>
      </w:pPr>
      <w:r>
        <w:t xml:space="preserve">pro předávání faktur a záloh za regulované služby, zasílané provozovatelem distribuční soustavy obchodníkovi s plynem prostřednictvím CDS. </w:t>
      </w:r>
    </w:p>
    <w:p w:rsidR="0051727F" w:rsidRDefault="0051727F" w:rsidP="0051727F">
      <w:pPr>
        <w:numPr>
          <w:ilvl w:val="0"/>
          <w:numId w:val="8"/>
        </w:numPr>
        <w:overflowPunct w:val="0"/>
        <w:adjustRightInd w:val="0"/>
        <w:spacing w:after="120"/>
        <w:jc w:val="both"/>
        <w:textAlignment w:val="baseline"/>
      </w:pPr>
      <w:r>
        <w:t>Zaslání daňových dokladů za služby OTE jednotlivým účastníkům trhu s plynem</w:t>
      </w:r>
    </w:p>
    <w:p w:rsidR="0051727F" w:rsidRDefault="0051727F" w:rsidP="0051727F">
      <w:pPr>
        <w:overflowPunct w:val="0"/>
        <w:adjustRightInd w:val="0"/>
        <w:spacing w:after="120"/>
        <w:jc w:val="both"/>
        <w:textAlignment w:val="baseline"/>
      </w:pPr>
      <w:r>
        <w:t xml:space="preserve">Z důvodu nutnosti předání informace o datu doručení dokladu příjemci bude komunikační scénář doplněn o zaslání zprávy „informace o předání elektronické faktury ze systému OTE“. (viz kap. 1.1.1. dále) </w:t>
      </w:r>
    </w:p>
    <w:p w:rsidR="0051727F" w:rsidRDefault="0051727F" w:rsidP="0051727F">
      <w:pPr>
        <w:pStyle w:val="Nadpis2"/>
        <w:ind w:left="0" w:firstLine="0"/>
      </w:pPr>
      <w:bookmarkStart w:id="1" w:name="_Toc250047859"/>
      <w:bookmarkStart w:id="2" w:name="_Toc280612923"/>
      <w:r>
        <w:t>Principy komunikace a zabezpečení</w:t>
      </w:r>
      <w:bookmarkEnd w:id="1"/>
      <w:bookmarkEnd w:id="2"/>
    </w:p>
    <w:p w:rsidR="0051727F" w:rsidRDefault="0051727F" w:rsidP="0051727F">
      <w:pPr>
        <w:pStyle w:val="Nadpis3"/>
        <w:ind w:left="0" w:firstLine="0"/>
      </w:pPr>
      <w:bookmarkStart w:id="3" w:name="_Toc250047860"/>
      <w:bookmarkStart w:id="4" w:name="_Toc280612924"/>
      <w:r>
        <w:t>Popis výměny dat</w:t>
      </w:r>
      <w:bookmarkEnd w:id="3"/>
      <w:bookmarkEnd w:id="4"/>
      <w:r>
        <w:t xml:space="preserve"> </w:t>
      </w:r>
    </w:p>
    <w:p w:rsidR="0051727F" w:rsidRDefault="0051727F" w:rsidP="0051727F">
      <w:r>
        <w:t>Výměna dat v rámci předávání zpráv elektronické faktury bude probíhat podle níže uvedeného schématu.</w:t>
      </w:r>
    </w:p>
    <w:p w:rsidR="0051727F" w:rsidRDefault="0051727F" w:rsidP="0051727F">
      <w:r>
        <w:t>Při předávání dat nebude zpráva elektronické faktury v CDS jakkoli upravována, ale je předávána v původní podobě, jak byla odeslána PDS, včetně elektronického podpisu odesílatele. Tento princip platí jak při automatickém předání dat při zaslání zprávy elektronické faktury, tak při odpovědi na dotaz účastníka na elektronickou fakturu.</w:t>
      </w:r>
    </w:p>
    <w:p w:rsidR="0051727F" w:rsidRDefault="0051727F" w:rsidP="0051727F">
      <w:r>
        <w:t>Při předávání dat elektronické faktury a souvisejících zpráv se použijí následující msg cody:</w:t>
      </w:r>
    </w:p>
    <w:tbl>
      <w:tblPr>
        <w:tblW w:w="7380" w:type="dxa"/>
        <w:jc w:val="center"/>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3850"/>
        <w:gridCol w:w="1203"/>
        <w:gridCol w:w="1227"/>
      </w:tblGrid>
      <w:tr w:rsidR="0051727F" w:rsidTr="00870D66">
        <w:trPr>
          <w:trHeight w:val="288"/>
          <w:jc w:val="center"/>
        </w:trPr>
        <w:tc>
          <w:tcPr>
            <w:tcW w:w="1100" w:type="dxa"/>
            <w:shd w:val="clear" w:color="auto" w:fill="C0C0C0"/>
            <w:vAlign w:val="center"/>
          </w:tcPr>
          <w:p w:rsidR="0051727F" w:rsidRDefault="0051727F" w:rsidP="00870D66">
            <w:pPr>
              <w:pStyle w:val="Texttabulky"/>
              <w:spacing w:before="0" w:after="0"/>
              <w:jc w:val="center"/>
              <w:rPr>
                <w:b/>
              </w:rPr>
            </w:pPr>
            <w:r>
              <w:rPr>
                <w:b/>
              </w:rPr>
              <w:t>Msg code</w:t>
            </w:r>
          </w:p>
        </w:tc>
        <w:tc>
          <w:tcPr>
            <w:tcW w:w="3850" w:type="dxa"/>
            <w:shd w:val="clear" w:color="auto" w:fill="C0C0C0"/>
            <w:vAlign w:val="center"/>
          </w:tcPr>
          <w:p w:rsidR="0051727F" w:rsidRDefault="0051727F" w:rsidP="00870D66">
            <w:pPr>
              <w:pStyle w:val="Texttabulky"/>
              <w:spacing w:before="0" w:after="0"/>
              <w:jc w:val="center"/>
              <w:rPr>
                <w:b/>
              </w:rPr>
            </w:pPr>
            <w:r>
              <w:rPr>
                <w:b/>
              </w:rPr>
              <w:t>Popis</w:t>
            </w:r>
          </w:p>
        </w:tc>
        <w:tc>
          <w:tcPr>
            <w:tcW w:w="1203" w:type="dxa"/>
            <w:shd w:val="clear" w:color="auto" w:fill="C0C0C0"/>
            <w:vAlign w:val="center"/>
          </w:tcPr>
          <w:p w:rsidR="0051727F" w:rsidRDefault="0051727F" w:rsidP="00870D66">
            <w:pPr>
              <w:pStyle w:val="Texttabulky"/>
              <w:spacing w:before="0" w:after="0"/>
              <w:jc w:val="center"/>
              <w:rPr>
                <w:b/>
              </w:rPr>
            </w:pPr>
            <w:r>
              <w:rPr>
                <w:b/>
              </w:rPr>
              <w:t>Zdroj</w:t>
            </w:r>
          </w:p>
        </w:tc>
        <w:tc>
          <w:tcPr>
            <w:tcW w:w="1227" w:type="dxa"/>
            <w:shd w:val="clear" w:color="auto" w:fill="C0C0C0"/>
            <w:vAlign w:val="center"/>
          </w:tcPr>
          <w:p w:rsidR="0051727F" w:rsidRDefault="0051727F" w:rsidP="00870D66">
            <w:pPr>
              <w:pStyle w:val="Texttabulky"/>
              <w:spacing w:before="0" w:after="0"/>
              <w:jc w:val="center"/>
              <w:rPr>
                <w:b/>
              </w:rPr>
            </w:pPr>
            <w:r>
              <w:rPr>
                <w:b/>
              </w:rPr>
              <w:t>Cíl</w:t>
            </w:r>
          </w:p>
        </w:tc>
      </w:tr>
      <w:tr w:rsidR="0051727F" w:rsidTr="00870D66">
        <w:trPr>
          <w:trHeight w:val="288"/>
          <w:jc w:val="center"/>
        </w:trPr>
        <w:tc>
          <w:tcPr>
            <w:tcW w:w="1100" w:type="dxa"/>
          </w:tcPr>
          <w:p w:rsidR="0051727F" w:rsidRDefault="0051727F" w:rsidP="00870D66">
            <w:pPr>
              <w:pStyle w:val="Texttabulky"/>
            </w:pPr>
            <w:r>
              <w:t>GP7</w:t>
            </w:r>
          </w:p>
          <w:p w:rsidR="0051727F" w:rsidRDefault="0051727F" w:rsidP="00870D66">
            <w:pPr>
              <w:pStyle w:val="Texttabulky"/>
            </w:pPr>
          </w:p>
        </w:tc>
        <w:tc>
          <w:tcPr>
            <w:tcW w:w="3850" w:type="dxa"/>
          </w:tcPr>
          <w:p w:rsidR="0051727F" w:rsidRDefault="0051727F" w:rsidP="00870D66">
            <w:pPr>
              <w:pStyle w:val="Texttabulky"/>
              <w:spacing w:before="0" w:after="0"/>
            </w:pPr>
            <w:r>
              <w:t xml:space="preserve">Elektronická faktura </w:t>
            </w:r>
          </w:p>
        </w:tc>
        <w:tc>
          <w:tcPr>
            <w:tcW w:w="1203" w:type="dxa"/>
          </w:tcPr>
          <w:p w:rsidR="0051727F" w:rsidRDefault="0051727F" w:rsidP="00870D66">
            <w:pPr>
              <w:pStyle w:val="Texttabulky"/>
              <w:spacing w:before="0" w:after="0"/>
            </w:pPr>
            <w:r>
              <w:t>PDS</w:t>
            </w:r>
          </w:p>
          <w:p w:rsidR="0051727F" w:rsidRDefault="0051727F" w:rsidP="00870D66">
            <w:pPr>
              <w:pStyle w:val="Texttabulky"/>
              <w:spacing w:before="0" w:after="0"/>
            </w:pPr>
            <w:r>
              <w:t>CDS</w:t>
            </w:r>
          </w:p>
        </w:tc>
        <w:tc>
          <w:tcPr>
            <w:tcW w:w="1227" w:type="dxa"/>
          </w:tcPr>
          <w:p w:rsidR="0051727F" w:rsidRDefault="0051727F" w:rsidP="00870D66">
            <w:pPr>
              <w:pStyle w:val="Texttabulky"/>
              <w:spacing w:before="0" w:after="0"/>
            </w:pPr>
            <w:r>
              <w:t>CDS</w:t>
            </w:r>
          </w:p>
          <w:p w:rsidR="0051727F" w:rsidRDefault="0051727F" w:rsidP="00870D66">
            <w:pPr>
              <w:pStyle w:val="Texttabulky"/>
              <w:spacing w:before="0" w:after="0"/>
            </w:pPr>
            <w:r>
              <w:t>Obchodník</w:t>
            </w:r>
          </w:p>
          <w:p w:rsidR="0051727F" w:rsidRDefault="0051727F" w:rsidP="00870D66">
            <w:pPr>
              <w:pStyle w:val="Texttabulky"/>
              <w:spacing w:before="0" w:after="0"/>
            </w:pPr>
            <w:r>
              <w:cr/>
            </w:r>
            <w:r>
              <w:cr/>
              <w:t>S</w:t>
            </w:r>
          </w:p>
        </w:tc>
      </w:tr>
      <w:tr w:rsidR="0051727F" w:rsidTr="00870D66">
        <w:trPr>
          <w:trHeight w:val="288"/>
          <w:jc w:val="center"/>
        </w:trPr>
        <w:tc>
          <w:tcPr>
            <w:tcW w:w="1100" w:type="dxa"/>
          </w:tcPr>
          <w:p w:rsidR="0051727F" w:rsidRDefault="0051727F" w:rsidP="00870D66">
            <w:pPr>
              <w:pStyle w:val="Texttabulky"/>
            </w:pPr>
            <w:r>
              <w:t>GP8</w:t>
            </w:r>
          </w:p>
          <w:p w:rsidR="0051727F" w:rsidRDefault="0051727F" w:rsidP="00870D66">
            <w:pPr>
              <w:pStyle w:val="Texttabulky"/>
              <w:spacing w:before="0" w:after="0"/>
            </w:pPr>
          </w:p>
        </w:tc>
        <w:tc>
          <w:tcPr>
            <w:tcW w:w="3850" w:type="dxa"/>
          </w:tcPr>
          <w:p w:rsidR="0051727F" w:rsidRDefault="0051727F" w:rsidP="00870D66">
            <w:pPr>
              <w:pStyle w:val="Texttabulky"/>
              <w:spacing w:before="0" w:after="0"/>
              <w:jc w:val="left"/>
            </w:pPr>
            <w:r>
              <w:t xml:space="preserve">Potvrzení přijetí / chyba ve zprávě elektronické faktury </w:t>
            </w:r>
          </w:p>
        </w:tc>
        <w:tc>
          <w:tcPr>
            <w:tcW w:w="1203" w:type="dxa"/>
          </w:tcPr>
          <w:p w:rsidR="0051727F" w:rsidRDefault="0051727F" w:rsidP="00870D66">
            <w:pPr>
              <w:pStyle w:val="Texttabulky"/>
              <w:spacing w:before="0" w:after="0"/>
            </w:pPr>
            <w:r>
              <w:t>CDS</w:t>
            </w:r>
          </w:p>
        </w:tc>
        <w:tc>
          <w:tcPr>
            <w:tcW w:w="1227" w:type="dxa"/>
          </w:tcPr>
          <w:p w:rsidR="0051727F" w:rsidRDefault="0051727F" w:rsidP="00870D66">
            <w:pPr>
              <w:pStyle w:val="Texttabulky"/>
              <w:spacing w:before="0" w:after="0"/>
            </w:pPr>
            <w:r>
              <w:t>PDS</w:t>
            </w:r>
          </w:p>
          <w:p w:rsidR="0051727F" w:rsidRDefault="0051727F" w:rsidP="00870D66">
            <w:pPr>
              <w:pStyle w:val="Texttabulky"/>
              <w:spacing w:before="0" w:after="0"/>
            </w:pPr>
            <w:r>
              <w:t>Obchodník</w:t>
            </w:r>
          </w:p>
        </w:tc>
      </w:tr>
      <w:tr w:rsidR="0051727F" w:rsidTr="00870D66">
        <w:trPr>
          <w:trHeight w:val="288"/>
          <w:jc w:val="center"/>
        </w:trPr>
        <w:tc>
          <w:tcPr>
            <w:tcW w:w="1100" w:type="dxa"/>
          </w:tcPr>
          <w:p w:rsidR="0051727F" w:rsidRDefault="0051727F" w:rsidP="00870D66">
            <w:pPr>
              <w:pStyle w:val="Texttabulky"/>
            </w:pPr>
            <w:r>
              <w:t>GP9</w:t>
            </w:r>
          </w:p>
          <w:p w:rsidR="0051727F" w:rsidRDefault="0051727F" w:rsidP="00870D66">
            <w:pPr>
              <w:pStyle w:val="Texttabulky"/>
              <w:spacing w:before="0" w:after="0"/>
            </w:pPr>
          </w:p>
        </w:tc>
        <w:tc>
          <w:tcPr>
            <w:tcW w:w="3850" w:type="dxa"/>
          </w:tcPr>
          <w:p w:rsidR="0051727F" w:rsidRDefault="0051727F" w:rsidP="00870D66">
            <w:pPr>
              <w:pStyle w:val="Texttabulky"/>
              <w:spacing w:before="0" w:after="0"/>
            </w:pPr>
            <w:r>
              <w:t>Dotaz na zprávu elektronické faktury</w:t>
            </w:r>
          </w:p>
        </w:tc>
        <w:tc>
          <w:tcPr>
            <w:tcW w:w="1203" w:type="dxa"/>
          </w:tcPr>
          <w:p w:rsidR="0051727F" w:rsidRDefault="0051727F" w:rsidP="00870D66">
            <w:pPr>
              <w:pStyle w:val="Texttabulky"/>
              <w:spacing w:before="0" w:after="0"/>
            </w:pPr>
            <w:r>
              <w:t>PDS</w:t>
            </w:r>
          </w:p>
          <w:p w:rsidR="0051727F" w:rsidRDefault="0051727F" w:rsidP="00870D66">
            <w:pPr>
              <w:pStyle w:val="Texttabulky"/>
              <w:spacing w:before="0" w:after="0"/>
            </w:pPr>
            <w:r>
              <w:t>Obchodník</w:t>
            </w:r>
          </w:p>
        </w:tc>
        <w:tc>
          <w:tcPr>
            <w:tcW w:w="1227" w:type="dxa"/>
          </w:tcPr>
          <w:p w:rsidR="0051727F" w:rsidRDefault="0051727F" w:rsidP="00870D66">
            <w:pPr>
              <w:pStyle w:val="Texttabulky"/>
              <w:spacing w:before="0" w:after="0"/>
            </w:pPr>
            <w:r>
              <w:t>CDS</w:t>
            </w:r>
          </w:p>
          <w:p w:rsidR="0051727F" w:rsidRDefault="0051727F" w:rsidP="00870D66">
            <w:pPr>
              <w:pStyle w:val="Texttabulky"/>
              <w:spacing w:before="0" w:after="0"/>
            </w:pPr>
          </w:p>
        </w:tc>
      </w:tr>
      <w:tr w:rsidR="0051727F" w:rsidTr="00870D66">
        <w:trPr>
          <w:trHeight w:val="288"/>
          <w:jc w:val="center"/>
        </w:trPr>
        <w:tc>
          <w:tcPr>
            <w:tcW w:w="1100" w:type="dxa"/>
          </w:tcPr>
          <w:p w:rsidR="0051727F" w:rsidRDefault="0051727F" w:rsidP="00870D66">
            <w:pPr>
              <w:pStyle w:val="Texttabulky"/>
            </w:pPr>
            <w:r>
              <w:t>GPA</w:t>
            </w:r>
          </w:p>
          <w:p w:rsidR="0051727F" w:rsidRDefault="0051727F" w:rsidP="00870D66">
            <w:pPr>
              <w:pStyle w:val="Texttabulky"/>
              <w:spacing w:before="0" w:after="0"/>
            </w:pPr>
          </w:p>
        </w:tc>
        <w:tc>
          <w:tcPr>
            <w:tcW w:w="3850" w:type="dxa"/>
          </w:tcPr>
          <w:p w:rsidR="0051727F" w:rsidRDefault="0051727F" w:rsidP="00870D66">
            <w:pPr>
              <w:pStyle w:val="Texttabulky"/>
              <w:spacing w:before="0" w:after="0"/>
            </w:pPr>
            <w:r>
              <w:t>Chyba v dotazu na elektronickou fakturu</w:t>
            </w:r>
          </w:p>
        </w:tc>
        <w:tc>
          <w:tcPr>
            <w:tcW w:w="1203" w:type="dxa"/>
          </w:tcPr>
          <w:p w:rsidR="0051727F" w:rsidRDefault="0051727F" w:rsidP="00870D66">
            <w:pPr>
              <w:pStyle w:val="Texttabulky"/>
              <w:spacing w:before="0" w:after="0"/>
            </w:pPr>
            <w:r>
              <w:t>CDS</w:t>
            </w:r>
          </w:p>
        </w:tc>
        <w:tc>
          <w:tcPr>
            <w:tcW w:w="1227" w:type="dxa"/>
          </w:tcPr>
          <w:p w:rsidR="0051727F" w:rsidRDefault="0051727F" w:rsidP="00870D66">
            <w:pPr>
              <w:pStyle w:val="Texttabulky"/>
              <w:spacing w:before="0" w:after="0"/>
            </w:pPr>
            <w:r>
              <w:t>PDS</w:t>
            </w:r>
          </w:p>
          <w:p w:rsidR="0051727F" w:rsidRDefault="0051727F" w:rsidP="00870D66">
            <w:pPr>
              <w:pStyle w:val="Texttabulky"/>
              <w:spacing w:before="0" w:after="0"/>
            </w:pPr>
            <w:r>
              <w:t>Obchodník</w:t>
            </w:r>
          </w:p>
        </w:tc>
      </w:tr>
      <w:tr w:rsidR="0051727F" w:rsidTr="00870D66">
        <w:trPr>
          <w:trHeight w:val="288"/>
          <w:jc w:val="center"/>
        </w:trPr>
        <w:tc>
          <w:tcPr>
            <w:tcW w:w="1100" w:type="dxa"/>
          </w:tcPr>
          <w:p w:rsidR="0051727F" w:rsidRDefault="0051727F" w:rsidP="00870D66">
            <w:pPr>
              <w:pStyle w:val="Texttabulky"/>
              <w:spacing w:before="0" w:after="0"/>
            </w:pPr>
            <w:r>
              <w:t>GPB</w:t>
            </w:r>
          </w:p>
        </w:tc>
        <w:tc>
          <w:tcPr>
            <w:tcW w:w="3850" w:type="dxa"/>
          </w:tcPr>
          <w:p w:rsidR="0051727F" w:rsidRDefault="0051727F" w:rsidP="00870D66">
            <w:pPr>
              <w:pStyle w:val="Texttabulky"/>
              <w:spacing w:before="0" w:after="0"/>
            </w:pPr>
            <w:r>
              <w:t>Elektronická (XML) faktura OTE</w:t>
            </w:r>
          </w:p>
        </w:tc>
        <w:tc>
          <w:tcPr>
            <w:tcW w:w="1203" w:type="dxa"/>
          </w:tcPr>
          <w:p w:rsidR="0051727F" w:rsidRDefault="0051727F" w:rsidP="00870D66">
            <w:pPr>
              <w:pStyle w:val="Texttabulky"/>
              <w:spacing w:before="0" w:after="0"/>
            </w:pPr>
            <w:r>
              <w:t>OTE</w:t>
            </w:r>
          </w:p>
        </w:tc>
        <w:tc>
          <w:tcPr>
            <w:tcW w:w="1227" w:type="dxa"/>
          </w:tcPr>
          <w:p w:rsidR="0051727F" w:rsidRDefault="0051727F" w:rsidP="00870D66">
            <w:pPr>
              <w:pStyle w:val="Texttabulky"/>
              <w:spacing w:before="0" w:after="0"/>
            </w:pPr>
            <w:r>
              <w:t>Účastník trhu</w:t>
            </w:r>
          </w:p>
        </w:tc>
      </w:tr>
      <w:tr w:rsidR="0051727F" w:rsidTr="00870D66">
        <w:trPr>
          <w:trHeight w:val="288"/>
          <w:jc w:val="center"/>
        </w:trPr>
        <w:tc>
          <w:tcPr>
            <w:tcW w:w="1100" w:type="dxa"/>
          </w:tcPr>
          <w:p w:rsidR="0051727F" w:rsidRDefault="0051727F" w:rsidP="00870D66">
            <w:pPr>
              <w:pStyle w:val="Texttabulky"/>
              <w:spacing w:before="0" w:after="0"/>
            </w:pPr>
            <w:r>
              <w:t>GPC</w:t>
            </w:r>
          </w:p>
        </w:tc>
        <w:tc>
          <w:tcPr>
            <w:tcW w:w="3850" w:type="dxa"/>
          </w:tcPr>
          <w:p w:rsidR="0051727F" w:rsidRDefault="0051727F" w:rsidP="00870D66">
            <w:pPr>
              <w:pStyle w:val="Texttabulky"/>
              <w:spacing w:before="0" w:after="0"/>
            </w:pPr>
            <w:r>
              <w:t>Dotaz na informaci o předání elektronické faktury</w:t>
            </w:r>
          </w:p>
        </w:tc>
        <w:tc>
          <w:tcPr>
            <w:tcW w:w="1203" w:type="dxa"/>
          </w:tcPr>
          <w:p w:rsidR="0051727F" w:rsidRDefault="0051727F" w:rsidP="00870D66">
            <w:pPr>
              <w:pStyle w:val="Texttabulky"/>
              <w:spacing w:before="0" w:after="0"/>
            </w:pPr>
            <w:r>
              <w:t>PDS</w:t>
            </w:r>
          </w:p>
        </w:tc>
        <w:tc>
          <w:tcPr>
            <w:tcW w:w="1227" w:type="dxa"/>
          </w:tcPr>
          <w:p w:rsidR="0051727F" w:rsidRDefault="0051727F" w:rsidP="00870D66">
            <w:pPr>
              <w:pStyle w:val="Texttabulky"/>
              <w:spacing w:before="0" w:after="0"/>
            </w:pPr>
            <w:r>
              <w:t>OTE</w:t>
            </w:r>
          </w:p>
        </w:tc>
      </w:tr>
      <w:tr w:rsidR="0051727F" w:rsidTr="00870D66">
        <w:trPr>
          <w:trHeight w:val="288"/>
          <w:jc w:val="center"/>
        </w:trPr>
        <w:tc>
          <w:tcPr>
            <w:tcW w:w="1100" w:type="dxa"/>
          </w:tcPr>
          <w:p w:rsidR="0051727F" w:rsidRDefault="0051727F" w:rsidP="00870D66">
            <w:pPr>
              <w:pStyle w:val="Texttabulky"/>
              <w:spacing w:before="0" w:after="0"/>
            </w:pPr>
            <w:r>
              <w:t>GPD</w:t>
            </w:r>
          </w:p>
        </w:tc>
        <w:tc>
          <w:tcPr>
            <w:tcW w:w="3850" w:type="dxa"/>
          </w:tcPr>
          <w:p w:rsidR="0051727F" w:rsidRDefault="0051727F" w:rsidP="00870D66">
            <w:pPr>
              <w:pStyle w:val="Texttabulky"/>
              <w:spacing w:before="0" w:after="0"/>
            </w:pPr>
            <w:r>
              <w:t>Chyba v dotazu na informaci o předání elektronické faktury</w:t>
            </w:r>
          </w:p>
        </w:tc>
        <w:tc>
          <w:tcPr>
            <w:tcW w:w="1203" w:type="dxa"/>
          </w:tcPr>
          <w:p w:rsidR="0051727F" w:rsidRDefault="0051727F" w:rsidP="00870D66">
            <w:pPr>
              <w:pStyle w:val="Texttabulky"/>
              <w:spacing w:before="0" w:after="0"/>
            </w:pPr>
            <w:r>
              <w:t>OTE</w:t>
            </w:r>
          </w:p>
        </w:tc>
        <w:tc>
          <w:tcPr>
            <w:tcW w:w="1227" w:type="dxa"/>
          </w:tcPr>
          <w:p w:rsidR="0051727F" w:rsidRDefault="0051727F" w:rsidP="00870D66">
            <w:pPr>
              <w:pStyle w:val="Texttabulky"/>
              <w:spacing w:before="0" w:after="0"/>
            </w:pPr>
            <w:r>
              <w:t>PDS</w:t>
            </w:r>
          </w:p>
        </w:tc>
      </w:tr>
      <w:tr w:rsidR="0051727F" w:rsidTr="00870D66">
        <w:trPr>
          <w:trHeight w:val="288"/>
          <w:jc w:val="center"/>
        </w:trPr>
        <w:tc>
          <w:tcPr>
            <w:tcW w:w="1100" w:type="dxa"/>
          </w:tcPr>
          <w:p w:rsidR="0051727F" w:rsidRDefault="0051727F" w:rsidP="00870D66">
            <w:pPr>
              <w:pStyle w:val="Texttabulky"/>
              <w:spacing w:before="0" w:after="0"/>
            </w:pPr>
            <w:r>
              <w:t>GPE</w:t>
            </w:r>
          </w:p>
        </w:tc>
        <w:tc>
          <w:tcPr>
            <w:tcW w:w="3850" w:type="dxa"/>
          </w:tcPr>
          <w:p w:rsidR="0051727F" w:rsidRDefault="0051727F" w:rsidP="00870D66">
            <w:pPr>
              <w:pStyle w:val="Texttabulky"/>
              <w:spacing w:before="0" w:after="0"/>
            </w:pPr>
            <w:r>
              <w:t>Informace o předání elektronické faktury</w:t>
            </w:r>
          </w:p>
        </w:tc>
        <w:tc>
          <w:tcPr>
            <w:tcW w:w="1203" w:type="dxa"/>
          </w:tcPr>
          <w:p w:rsidR="0051727F" w:rsidRDefault="0051727F" w:rsidP="00870D66">
            <w:pPr>
              <w:pStyle w:val="Texttabulky"/>
              <w:spacing w:before="0" w:after="0"/>
            </w:pPr>
            <w:r>
              <w:t>OTE</w:t>
            </w:r>
          </w:p>
        </w:tc>
        <w:tc>
          <w:tcPr>
            <w:tcW w:w="1227" w:type="dxa"/>
          </w:tcPr>
          <w:p w:rsidR="0051727F" w:rsidRDefault="0051727F" w:rsidP="00870D66">
            <w:pPr>
              <w:pStyle w:val="Texttabulky"/>
              <w:spacing w:before="0" w:after="0"/>
            </w:pPr>
            <w:r>
              <w:t>PDS</w:t>
            </w:r>
          </w:p>
        </w:tc>
      </w:tr>
    </w:tbl>
    <w:p w:rsidR="0051727F" w:rsidRDefault="0051727F" w:rsidP="0051727F">
      <w:pPr>
        <w:pStyle w:val="Titulek"/>
        <w:spacing w:after="240"/>
        <w:jc w:val="center"/>
      </w:pPr>
      <w:bookmarkStart w:id="5" w:name="_Toc280544961"/>
      <w:r>
        <w:t xml:space="preserve">Tabulka </w:t>
      </w:r>
      <w:r>
        <w:fldChar w:fldCharType="begin"/>
      </w:r>
      <w:r>
        <w:instrText xml:space="preserve"> SEQ Tabulka \* ARABIC </w:instrText>
      </w:r>
      <w:r>
        <w:fldChar w:fldCharType="separate"/>
      </w:r>
      <w:r>
        <w:rPr>
          <w:noProof/>
        </w:rPr>
        <w:t>1</w:t>
      </w:r>
      <w:r>
        <w:fldChar w:fldCharType="end"/>
      </w:r>
      <w:r>
        <w:t>: Zprávy elektronické fakturace</w:t>
      </w:r>
      <w:bookmarkEnd w:id="5"/>
    </w:p>
    <w:p w:rsidR="0051727F" w:rsidRDefault="0051727F" w:rsidP="0051727F"/>
    <w:p w:rsidR="0051727F" w:rsidRDefault="0051727F" w:rsidP="0051727F">
      <w:pPr>
        <w:keepNext/>
        <w:ind w:left="288"/>
        <w:jc w:val="right"/>
      </w:pPr>
      <w:r>
        <w:object w:dxaOrig="9713" w:dyaOrig="13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600.75pt" o:ole="">
            <v:imagedata r:id="rId6" o:title=""/>
          </v:shape>
          <o:OLEObject Type="Embed" ProgID="Visio.Drawing.11" ShapeID="_x0000_i1025" DrawAspect="Content" ObjectID="_1437397536" r:id="rId7"/>
        </w:object>
      </w:r>
    </w:p>
    <w:p w:rsidR="0051727F" w:rsidRDefault="0051727F" w:rsidP="0051727F">
      <w:pPr>
        <w:keepNext/>
        <w:ind w:left="288"/>
        <w:jc w:val="right"/>
      </w:pPr>
      <w:r>
        <w:object w:dxaOrig="9655" w:dyaOrig="7529">
          <v:shape id="_x0000_i1026" type="#_x0000_t75" style="width:441pt;height:343.5pt" o:ole="">
            <v:imagedata r:id="rId8" o:title=""/>
          </v:shape>
          <o:OLEObject Type="Embed" ProgID="Visio.Drawing.11" ShapeID="_x0000_i1026" DrawAspect="Content" ObjectID="_1437397537" r:id="rId9"/>
        </w:object>
      </w:r>
    </w:p>
    <w:p w:rsidR="0051727F" w:rsidRDefault="0051727F" w:rsidP="0051727F">
      <w:pPr>
        <w:pStyle w:val="Titulek"/>
        <w:spacing w:after="240"/>
        <w:ind w:left="1138"/>
        <w:jc w:val="center"/>
        <w:outlineLvl w:val="0"/>
      </w:pPr>
      <w:bookmarkStart w:id="6" w:name="_Toc250047771"/>
      <w:bookmarkStart w:id="7" w:name="_Toc280545069"/>
      <w:r>
        <w:t xml:space="preserve">Obrázek </w:t>
      </w:r>
      <w:r>
        <w:fldChar w:fldCharType="begin"/>
      </w:r>
      <w:r>
        <w:instrText xml:space="preserve"> SEQ Obrázek \* ARABIC </w:instrText>
      </w:r>
      <w:r>
        <w:fldChar w:fldCharType="separate"/>
      </w:r>
      <w:r>
        <w:rPr>
          <w:noProof/>
        </w:rPr>
        <w:t>1</w:t>
      </w:r>
      <w:r>
        <w:fldChar w:fldCharType="end"/>
      </w:r>
      <w:r>
        <w:t>: Komunikace v rámci elektronické faktury</w:t>
      </w:r>
      <w:bookmarkEnd w:id="6"/>
      <w:bookmarkEnd w:id="7"/>
    </w:p>
    <w:p w:rsidR="0051727F" w:rsidRDefault="0051727F" w:rsidP="0051727F">
      <w:pPr>
        <w:pStyle w:val="Nadpis3"/>
        <w:ind w:left="0" w:firstLine="0"/>
      </w:pPr>
      <w:bookmarkStart w:id="8" w:name="_Toc250047861"/>
      <w:bookmarkStart w:id="9" w:name="_Toc280612925"/>
      <w:r>
        <w:t>Plnění atributů hlavičky zprávy</w:t>
      </w:r>
      <w:bookmarkEnd w:id="8"/>
      <w:bookmarkEnd w:id="9"/>
    </w:p>
    <w:p w:rsidR="0051727F" w:rsidRDefault="0051727F" w:rsidP="0051727F">
      <w:pPr>
        <w:pStyle w:val="StyleNormalCloseAfter6pt"/>
      </w:pPr>
      <w:r>
        <w:t>Ve zprávě se budou elementy plnit podle následujícího principu:</w:t>
      </w:r>
    </w:p>
    <w:tbl>
      <w:tblPr>
        <w:tblW w:w="7380" w:type="dxa"/>
        <w:jc w:val="center"/>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1640"/>
        <w:gridCol w:w="3642"/>
      </w:tblGrid>
      <w:tr w:rsidR="0051727F" w:rsidTr="00870D66">
        <w:trPr>
          <w:trHeight w:val="288"/>
          <w:jc w:val="center"/>
        </w:trPr>
        <w:tc>
          <w:tcPr>
            <w:tcW w:w="2098" w:type="dxa"/>
            <w:shd w:val="clear" w:color="auto" w:fill="C0C0C0"/>
            <w:vAlign w:val="center"/>
          </w:tcPr>
          <w:p w:rsidR="0051727F" w:rsidRDefault="0051727F" w:rsidP="00870D66">
            <w:pPr>
              <w:pStyle w:val="Texttabulky"/>
              <w:spacing w:before="0" w:after="0"/>
              <w:jc w:val="center"/>
              <w:rPr>
                <w:b/>
              </w:rPr>
            </w:pPr>
            <w:r>
              <w:rPr>
                <w:b/>
              </w:rPr>
              <w:t>Element</w:t>
            </w:r>
          </w:p>
        </w:tc>
        <w:tc>
          <w:tcPr>
            <w:tcW w:w="1640" w:type="dxa"/>
            <w:shd w:val="clear" w:color="auto" w:fill="C0C0C0"/>
            <w:vAlign w:val="center"/>
          </w:tcPr>
          <w:p w:rsidR="0051727F" w:rsidRDefault="0051727F" w:rsidP="00870D66">
            <w:pPr>
              <w:pStyle w:val="Texttabulky"/>
              <w:spacing w:before="0" w:after="0"/>
              <w:jc w:val="center"/>
              <w:rPr>
                <w:b/>
              </w:rPr>
            </w:pPr>
            <w:r>
              <w:rPr>
                <w:b/>
              </w:rPr>
              <w:t>Výz</w:t>
            </w:r>
            <w:r>
              <w:rPr>
                <w:b/>
              </w:rPr>
              <w:cr/>
              <w:t>am</w:t>
            </w:r>
          </w:p>
        </w:tc>
        <w:tc>
          <w:tcPr>
            <w:tcW w:w="3642" w:type="dxa"/>
            <w:shd w:val="clear" w:color="auto" w:fill="C0C0C0"/>
            <w:vAlign w:val="center"/>
          </w:tcPr>
          <w:p w:rsidR="0051727F" w:rsidRDefault="0051727F" w:rsidP="00870D66">
            <w:pPr>
              <w:pStyle w:val="Texttabulky"/>
              <w:spacing w:before="0" w:after="0"/>
              <w:jc w:val="center"/>
              <w:rPr>
                <w:b/>
              </w:rPr>
            </w:pPr>
            <w:r>
              <w:rPr>
                <w:b/>
              </w:rPr>
              <w:t>Plnění v CDSINVOICE</w:t>
            </w:r>
          </w:p>
        </w:tc>
      </w:tr>
      <w:tr w:rsidR="0051727F" w:rsidTr="00870D66">
        <w:trPr>
          <w:trHeight w:val="288"/>
          <w:jc w:val="center"/>
        </w:trPr>
        <w:tc>
          <w:tcPr>
            <w:tcW w:w="2098" w:type="dxa"/>
          </w:tcPr>
          <w:p w:rsidR="0051727F" w:rsidRDefault="0051727F" w:rsidP="00870D66">
            <w:pPr>
              <w:pStyle w:val="Texttabulky"/>
              <w:spacing w:before="0" w:after="0"/>
            </w:pPr>
            <w:r>
              <w:t>SenderIdentification</w:t>
            </w:r>
          </w:p>
        </w:tc>
        <w:tc>
          <w:tcPr>
            <w:tcW w:w="1640" w:type="dxa"/>
          </w:tcPr>
          <w:p w:rsidR="0051727F" w:rsidRDefault="0051727F" w:rsidP="00870D66">
            <w:pPr>
              <w:pStyle w:val="Texttabulky"/>
              <w:spacing w:before="0" w:after="0"/>
            </w:pPr>
            <w:r>
              <w:t>Odesílatel</w:t>
            </w:r>
          </w:p>
        </w:tc>
        <w:tc>
          <w:tcPr>
            <w:tcW w:w="3642" w:type="dxa"/>
          </w:tcPr>
          <w:p w:rsidR="0051727F" w:rsidRDefault="0051727F" w:rsidP="00870D66">
            <w:pPr>
              <w:pStyle w:val="Texttabulky"/>
              <w:spacing w:before="0" w:after="0"/>
              <w:jc w:val="left"/>
            </w:pPr>
            <w:r>
              <w:t>Vždy vydavatel faktury, tj. provozovatel distribuční soustavy, v případě faktury za služby OTE Sender bude OTE</w:t>
            </w:r>
          </w:p>
        </w:tc>
      </w:tr>
      <w:tr w:rsidR="0051727F" w:rsidTr="00870D66">
        <w:trPr>
          <w:trHeight w:val="288"/>
          <w:jc w:val="center"/>
        </w:trPr>
        <w:tc>
          <w:tcPr>
            <w:tcW w:w="2098" w:type="dxa"/>
          </w:tcPr>
          <w:p w:rsidR="0051727F" w:rsidRDefault="0051727F" w:rsidP="00870D66">
            <w:pPr>
              <w:pStyle w:val="Texttabulky"/>
              <w:spacing w:before="0" w:after="0"/>
            </w:pPr>
            <w:r>
              <w:t>ReceiverIdentification</w:t>
            </w:r>
          </w:p>
        </w:tc>
        <w:tc>
          <w:tcPr>
            <w:tcW w:w="1640" w:type="dxa"/>
          </w:tcPr>
          <w:p w:rsidR="0051727F" w:rsidRDefault="0051727F" w:rsidP="00870D66">
            <w:pPr>
              <w:pStyle w:val="Texttabulky"/>
              <w:spacing w:before="0" w:after="0"/>
            </w:pPr>
            <w:r>
              <w:t xml:space="preserve">Příjemce </w:t>
            </w:r>
          </w:p>
        </w:tc>
        <w:tc>
          <w:tcPr>
            <w:tcW w:w="3642" w:type="dxa"/>
          </w:tcPr>
          <w:p w:rsidR="0051727F" w:rsidRDefault="0051727F" w:rsidP="00870D66">
            <w:pPr>
              <w:pStyle w:val="Texttabulky"/>
              <w:spacing w:before="0" w:after="0"/>
              <w:jc w:val="left"/>
            </w:pPr>
            <w:r>
              <w:t>Příjemce faktury, tj. obchodník s elektřinou, v případě faktury za služby OTE to bude</w:t>
            </w:r>
            <w:r>
              <w:cr/>
              <w:t>obchodník</w:t>
            </w:r>
          </w:p>
        </w:tc>
      </w:tr>
      <w:tr w:rsidR="0051727F" w:rsidTr="00870D66">
        <w:trPr>
          <w:trHeight w:val="288"/>
          <w:jc w:val="center"/>
        </w:trPr>
        <w:tc>
          <w:tcPr>
            <w:tcW w:w="2098" w:type="dxa"/>
          </w:tcPr>
          <w:p w:rsidR="0051727F" w:rsidRDefault="0051727F" w:rsidP="00870D66">
            <w:pPr>
              <w:pStyle w:val="Texttabulky"/>
              <w:spacing w:before="0" w:after="0"/>
            </w:pPr>
            <w:r>
              <w:t>DataProvider</w:t>
            </w:r>
          </w:p>
        </w:tc>
        <w:tc>
          <w:tcPr>
            <w:tcW w:w="1640" w:type="dxa"/>
          </w:tcPr>
          <w:p w:rsidR="0051727F" w:rsidRDefault="0051727F" w:rsidP="00870D66">
            <w:pPr>
              <w:pStyle w:val="Texttabulky"/>
              <w:spacing w:before="0" w:after="0"/>
            </w:pPr>
            <w:r>
              <w:t>Poskytovatel dat</w:t>
            </w:r>
          </w:p>
        </w:tc>
        <w:tc>
          <w:tcPr>
            <w:tcW w:w="3642" w:type="dxa"/>
          </w:tcPr>
          <w:p w:rsidR="0051727F" w:rsidRDefault="0051727F" w:rsidP="00870D66">
            <w:pPr>
              <w:pStyle w:val="Texttabulky"/>
              <w:spacing w:before="0" w:after="0"/>
              <w:jc w:val="left"/>
            </w:pPr>
            <w:r>
              <w:t>Vždy OTE</w:t>
            </w:r>
          </w:p>
        </w:tc>
      </w:tr>
    </w:tbl>
    <w:p w:rsidR="0051727F" w:rsidRDefault="0051727F" w:rsidP="0051727F">
      <w:pPr>
        <w:pStyle w:val="Titulek"/>
        <w:spacing w:after="240"/>
        <w:jc w:val="center"/>
      </w:pPr>
      <w:bookmarkStart w:id="10" w:name="_Toc280544962"/>
      <w:r>
        <w:t xml:space="preserve">Tabulka </w:t>
      </w:r>
      <w:r>
        <w:fldChar w:fldCharType="begin"/>
      </w:r>
      <w:r>
        <w:instrText xml:space="preserve"> SEQ Tabulka \* ARABIC </w:instrText>
      </w:r>
      <w:r>
        <w:fldChar w:fldCharType="separate"/>
      </w:r>
      <w:r>
        <w:rPr>
          <w:noProof/>
        </w:rPr>
        <w:t>2</w:t>
      </w:r>
      <w:r>
        <w:fldChar w:fldCharType="end"/>
      </w:r>
      <w:r>
        <w:t>: Plnění atributů hlavičky</w:t>
      </w:r>
      <w:bookmarkEnd w:id="10"/>
    </w:p>
    <w:p w:rsidR="0051727F" w:rsidRDefault="0051727F" w:rsidP="0051727F"/>
    <w:p w:rsidR="0051727F" w:rsidRDefault="0051727F" w:rsidP="0051727F">
      <w:r>
        <w:t xml:space="preserve">Toto plnění uvedených atributů bude zachováno při jakémkoli předávání zprávy CDSGASINVOICE – to znamená v případech předání zprávy od PDS do CDS, z CDS obchodníkovi i v případě zaslání zprávy na dotaz účastníka. </w:t>
      </w:r>
    </w:p>
    <w:p w:rsidR="0051727F" w:rsidRDefault="0051727F" w:rsidP="0051727F">
      <w:r>
        <w:t>Důvodem použití tohoto principu je požadavek na zachování originálního naplnění zprávy odesílané PDS včetně elektronického podpisu PDS.</w:t>
      </w:r>
    </w:p>
    <w:p w:rsidR="0051727F" w:rsidRPr="006A2277" w:rsidRDefault="0051727F" w:rsidP="0051727F">
      <w:pPr>
        <w:rPr>
          <w:b/>
        </w:rPr>
      </w:pPr>
    </w:p>
    <w:p w:rsidR="0051727F" w:rsidRPr="006A2277" w:rsidRDefault="0051727F" w:rsidP="0051727F">
      <w:pPr>
        <w:rPr>
          <w:b/>
        </w:rPr>
      </w:pPr>
      <w:r w:rsidRPr="006A2277">
        <w:rPr>
          <w:b/>
        </w:rPr>
        <w:t>Řešení potvrzení doručení</w:t>
      </w:r>
      <w:r>
        <w:rPr>
          <w:b/>
        </w:rPr>
        <w:t xml:space="preserve"> dokladu</w:t>
      </w:r>
    </w:p>
    <w:p w:rsidR="0051727F" w:rsidRDefault="0051727F" w:rsidP="0051727F">
      <w:r>
        <w:t xml:space="preserve">DUZP opravných dobropisů se řídí datem doručení. </w:t>
      </w:r>
    </w:p>
    <w:p w:rsidR="0051727F" w:rsidRDefault="0051727F" w:rsidP="0051727F">
      <w:r>
        <w:lastRenderedPageBreak/>
        <w:t>Viz § 42 odst. 3 odst. b) zákona o DPH, který říká, že oprava základu daně a výše d</w:t>
      </w:r>
      <w:r>
        <w:t>a</w:t>
      </w:r>
      <w:r>
        <w:t>ně je samostatným zdanitelným plněním, které se považuje za uskutečněné nejpozději posledním dnem zdaňovacího období, ve kterém plátce opravou základu daně a výše daně snižuje daň na výstupu nebo svoji daňovou povinnost a osoba povinná k dani, právnická osoba, která není založena nebo zřízena za účelem podnikání, nebo osoba identifikovaná k dani, pro kterou se původní plnění uskutečnilo, nebo která poskytla úplatu, z níž vznikla povinnost přiznat daň, obdržela opravný daňový doklad.</w:t>
      </w:r>
    </w:p>
    <w:p w:rsidR="0051727F" w:rsidRDefault="0051727F" w:rsidP="0051727F"/>
    <w:p w:rsidR="0051727F" w:rsidRDefault="0051727F" w:rsidP="0051727F">
      <w:r w:rsidRPr="00D13C39">
        <w:t xml:space="preserve">Obchodními podmínkami </w:t>
      </w:r>
      <w:r>
        <w:t>OTE je</w:t>
      </w:r>
      <w:r w:rsidRPr="00D13C39">
        <w:t xml:space="preserve"> stanoveno, že za doručení dat/dokladu se v tomto případě považuje předání dat ze systému CS OTE na komunikační rozhraní účastníka (tj. rozhraní webových služeb nebo email).</w:t>
      </w:r>
      <w:r>
        <w:t xml:space="preserve"> Pro tento účel bude PDS informován zprávou, která bude  odeslána z CS OTE po předání na komunikační kanál obchodníka. Pro zaslání informace o doručení bude použito formátu CDSGASINVOICE, kde bude pro tento účel vytvořen nový element na nejvyšší úrovni, který bude obsahovat údaje:</w:t>
      </w:r>
    </w:p>
    <w:p w:rsidR="0051727F" w:rsidRDefault="0051727F" w:rsidP="0051727F">
      <w:pPr>
        <w:numPr>
          <w:ilvl w:val="0"/>
          <w:numId w:val="10"/>
        </w:numPr>
      </w:pPr>
      <w:r>
        <w:t>Doc-id (id dokladu)</w:t>
      </w:r>
    </w:p>
    <w:p w:rsidR="0051727F" w:rsidRDefault="0051727F" w:rsidP="0051727F">
      <w:pPr>
        <w:numPr>
          <w:ilvl w:val="0"/>
          <w:numId w:val="10"/>
        </w:numPr>
      </w:pPr>
      <w:r>
        <w:t>Doc-type (typ dokladu)</w:t>
      </w:r>
    </w:p>
    <w:p w:rsidR="0051727F" w:rsidRDefault="0051727F" w:rsidP="0051727F">
      <w:pPr>
        <w:numPr>
          <w:ilvl w:val="0"/>
          <w:numId w:val="10"/>
        </w:numPr>
      </w:pPr>
      <w:r>
        <w:t>Doc-atn (pořadové číslo přílohy v případě rozdělení na více zrpáv)</w:t>
      </w:r>
    </w:p>
    <w:p w:rsidR="0051727F" w:rsidRDefault="0051727F" w:rsidP="0051727F">
      <w:pPr>
        <w:numPr>
          <w:ilvl w:val="0"/>
          <w:numId w:val="10"/>
        </w:numPr>
      </w:pPr>
      <w:r>
        <w:t>Doc-ver (verze dokladu)</w:t>
      </w:r>
    </w:p>
    <w:p w:rsidR="0051727F" w:rsidRPr="006A2277" w:rsidRDefault="0051727F" w:rsidP="0051727F">
      <w:pPr>
        <w:numPr>
          <w:ilvl w:val="0"/>
          <w:numId w:val="10"/>
        </w:numPr>
        <w:rPr>
          <w:b/>
        </w:rPr>
      </w:pPr>
      <w:r>
        <w:t>Datum předání</w:t>
      </w:r>
    </w:p>
    <w:p w:rsidR="0051727F" w:rsidRDefault="0051727F" w:rsidP="0051727F">
      <w:r>
        <w:t>Element DocumentEnvelope nebude v případě zaslání informace o předání uveden.</w:t>
      </w:r>
    </w:p>
    <w:p w:rsidR="0051727F" w:rsidRDefault="0051727F" w:rsidP="0051727F"/>
    <w:p w:rsidR="0051727F" w:rsidRDefault="0051727F" w:rsidP="0051727F"/>
    <w:p w:rsidR="0051727F" w:rsidRDefault="0051727F" w:rsidP="0051727F">
      <w:pPr>
        <w:pStyle w:val="Nadpis3"/>
        <w:ind w:left="0" w:firstLine="0"/>
      </w:pPr>
      <w:bookmarkStart w:id="11" w:name="_Toc250047862"/>
      <w:bookmarkStart w:id="12" w:name="_Toc280612926"/>
      <w:r>
        <w:t>Elektronický podpis</w:t>
      </w:r>
      <w:bookmarkEnd w:id="11"/>
      <w:bookmarkEnd w:id="12"/>
    </w:p>
    <w:p w:rsidR="0051727F" w:rsidRDefault="0051727F" w:rsidP="0051727F">
      <w:r>
        <w:t xml:space="preserve">Základním požadavkem na předání zprávy CDSINVOICE prostřednictvím CDS je zachování elektronického podpisu původního odesílatele (provozovatele distribuční soustavy). To v důsledku znamená, že zpráva předaná na výstupu z CDS příjemci (obchodníkovi) je obsahově nezměněná, podepsaná původním podpisem provozovatele distribuční soustavy. </w:t>
      </w:r>
    </w:p>
    <w:p w:rsidR="0051727F" w:rsidRDefault="0051727F" w:rsidP="0051727F">
      <w:r>
        <w:t xml:space="preserve">Současně jsou zprávy předávané z CDS pro zachování nezaměnitelnosti identity odesílatele podepsány elektronickým podpisem OTE tak jako dosud. </w:t>
      </w:r>
    </w:p>
    <w:p w:rsidR="0051727F" w:rsidRDefault="0051727F" w:rsidP="0051727F">
      <w:r>
        <w:t>Principy elektronického podpisu v CDSGASINVOICE:</w:t>
      </w:r>
    </w:p>
    <w:p w:rsidR="0051727F" w:rsidRDefault="0051727F" w:rsidP="0051727F">
      <w:pPr>
        <w:numPr>
          <w:ilvl w:val="0"/>
          <w:numId w:val="3"/>
        </w:numPr>
        <w:tabs>
          <w:tab w:val="num" w:pos="1560"/>
        </w:tabs>
        <w:autoSpaceDE/>
        <w:autoSpaceDN/>
        <w:ind w:left="1560" w:hanging="284"/>
        <w:jc w:val="both"/>
      </w:pPr>
      <w:r>
        <w:t>Zprávy CDSGASINVOICE musí být podepsány XML podpisem odesílatele – provozovatele distribuční soustavy - podle W3C doporučení (</w:t>
      </w:r>
      <w:hyperlink r:id="rId10" w:tgtFrame="_blank" w:history="1">
        <w:r>
          <w:t>http://www.w3.org/TR/xmldsig-core/</w:t>
        </w:r>
      </w:hyperlink>
      <w:r>
        <w:t>) a následně budou přeneseny buď stejně jako všechny ostatní zprávy předávané pomocí CDS nebo analogicky s vynecháním standardního podpisu.</w:t>
      </w:r>
      <w:r>
        <w:br/>
        <w:t>Použití XML podpisu umožňuje předávání zprávy podepsané odesílatelem jak komunikačním kanálem HTTPS/SOAP, tak pomocí kanálu SMTP (email).</w:t>
      </w:r>
      <w:r>
        <w:br/>
      </w:r>
    </w:p>
    <w:p w:rsidR="0051727F" w:rsidRDefault="0051727F" w:rsidP="0051727F">
      <w:pPr>
        <w:numPr>
          <w:ilvl w:val="0"/>
          <w:numId w:val="3"/>
        </w:numPr>
        <w:tabs>
          <w:tab w:val="num" w:pos="1560"/>
        </w:tabs>
        <w:autoSpaceDE/>
        <w:autoSpaceDN/>
        <w:ind w:left="1560" w:hanging="284"/>
        <w:jc w:val="both"/>
      </w:pPr>
      <w:r>
        <w:t>Elektronickou fakturu ve formátu XML (CDSINVOICE) je nutno z důvodů právní a daňové uznatelnosti opatřit elektronickou značkou vytvořenou pomocí kvalifikovaného systémového certifikátu dle zákona č. 227/2000Sb. o elektronickém podpisu, ve znění zákona č. 226/2002 Sb., zákona č. 517/2002 Sb. a zákona č. 440/2004 Sb. (Z tohoto důvodu není možné v tomto případě použít certifikát certifikační autority OTECA.)</w:t>
      </w:r>
    </w:p>
    <w:p w:rsidR="0051727F" w:rsidRDefault="0051727F" w:rsidP="0051727F">
      <w:pPr>
        <w:spacing w:before="120"/>
        <w:ind w:left="1138"/>
      </w:pPr>
      <w:r>
        <w:t>Ostatní principy podepisování zpráv zůstávají stejné jako u všech ostatních zpráv zasílaných do CS OTE.</w:t>
      </w:r>
    </w:p>
    <w:p w:rsidR="0051727F" w:rsidRDefault="0051727F" w:rsidP="0051727F">
      <w:pPr>
        <w:spacing w:before="120"/>
        <w:ind w:left="1138"/>
      </w:pPr>
      <w:r>
        <w:t xml:space="preserve"> </w:t>
      </w:r>
    </w:p>
    <w:p w:rsidR="0051727F" w:rsidRDefault="0051727F" w:rsidP="0051727F">
      <w:pPr>
        <w:ind w:left="567"/>
      </w:pPr>
      <w:r>
        <w:t>Předání zprávy CDGASINVOICE s využitím elektronického podpisu probíhá podle následujících kroků:</w:t>
      </w:r>
    </w:p>
    <w:p w:rsidR="0051727F" w:rsidRDefault="0051727F" w:rsidP="0051727F">
      <w:pPr>
        <w:numPr>
          <w:ilvl w:val="0"/>
          <w:numId w:val="4"/>
        </w:numPr>
        <w:tabs>
          <w:tab w:val="clear" w:pos="720"/>
          <w:tab w:val="num" w:pos="1418"/>
        </w:tabs>
        <w:autoSpaceDE/>
        <w:autoSpaceDN/>
        <w:spacing w:before="120"/>
        <w:ind w:left="1417" w:hanging="425"/>
        <w:jc w:val="both"/>
      </w:pPr>
      <w:r>
        <w:lastRenderedPageBreak/>
        <w:t>Účastník (PDS) sestaví zprávu a opatří zprávu XML podpisem.</w:t>
      </w:r>
    </w:p>
    <w:p w:rsidR="0051727F" w:rsidRDefault="0051727F" w:rsidP="0051727F">
      <w:pPr>
        <w:numPr>
          <w:ilvl w:val="0"/>
          <w:numId w:val="4"/>
        </w:numPr>
        <w:tabs>
          <w:tab w:val="clear" w:pos="720"/>
          <w:tab w:val="num" w:pos="1418"/>
        </w:tabs>
        <w:autoSpaceDE/>
        <w:autoSpaceDN/>
        <w:spacing w:before="120"/>
        <w:ind w:left="1417" w:hanging="425"/>
        <w:jc w:val="both"/>
      </w:pPr>
      <w:r>
        <w:t>Účastník (PDS) volitelně zprávu elektronicky podepíše ve formátu PKCS#7, jako u ostatních zpráv (zpráva je podepsána 2x) – tento krok je nepovinný, tj. je dostačující, pokud zpráva bude podepsána XML podpisem podle bodu 1.</w:t>
      </w:r>
    </w:p>
    <w:p w:rsidR="0051727F" w:rsidRDefault="0051727F" w:rsidP="0051727F">
      <w:pPr>
        <w:numPr>
          <w:ilvl w:val="0"/>
          <w:numId w:val="4"/>
        </w:numPr>
        <w:tabs>
          <w:tab w:val="clear" w:pos="720"/>
          <w:tab w:val="num" w:pos="1418"/>
        </w:tabs>
        <w:autoSpaceDE/>
        <w:autoSpaceDN/>
        <w:spacing w:before="120"/>
        <w:ind w:left="1417" w:hanging="425"/>
        <w:jc w:val="both"/>
      </w:pPr>
      <w:r>
        <w:t>Účastník zašle zprávu do CDS.</w:t>
      </w:r>
    </w:p>
    <w:p w:rsidR="0051727F" w:rsidRDefault="0051727F" w:rsidP="0051727F">
      <w:pPr>
        <w:numPr>
          <w:ilvl w:val="0"/>
          <w:numId w:val="4"/>
        </w:numPr>
        <w:tabs>
          <w:tab w:val="clear" w:pos="720"/>
          <w:tab w:val="num" w:pos="1418"/>
        </w:tabs>
        <w:autoSpaceDE/>
        <w:autoSpaceDN/>
        <w:spacing w:before="120"/>
        <w:ind w:left="1417" w:hanging="425"/>
        <w:jc w:val="both"/>
      </w:pPr>
      <w:r>
        <w:t xml:space="preserve">Zpráva je v  CDS přijata, je provedeno ověření el. podpisu a kontrola podpisového certifikátu odesílatele proti LDAP serveru OTE Dále je ověřen XML podpis zprávy. </w:t>
      </w:r>
    </w:p>
    <w:p w:rsidR="0051727F" w:rsidRDefault="0051727F" w:rsidP="0051727F">
      <w:pPr>
        <w:numPr>
          <w:ilvl w:val="0"/>
          <w:numId w:val="4"/>
        </w:numPr>
        <w:tabs>
          <w:tab w:val="clear" w:pos="720"/>
          <w:tab w:val="num" w:pos="1418"/>
        </w:tabs>
        <w:autoSpaceDE/>
        <w:autoSpaceDN/>
        <w:spacing w:before="120"/>
        <w:ind w:left="1417" w:hanging="425"/>
        <w:jc w:val="both"/>
      </w:pPr>
      <w:r>
        <w:t>Komunikační server CDS provede kontrolu syntaxe zprávy, v případě že byla v předchozích krocích zjištěna chyba, Komunikační server odešle zpět systémové chybové hlášení.</w:t>
      </w:r>
    </w:p>
    <w:p w:rsidR="0051727F" w:rsidRDefault="0051727F" w:rsidP="0051727F">
      <w:pPr>
        <w:numPr>
          <w:ilvl w:val="0"/>
          <w:numId w:val="4"/>
        </w:numPr>
        <w:tabs>
          <w:tab w:val="clear" w:pos="720"/>
          <w:tab w:val="num" w:pos="1418"/>
        </w:tabs>
        <w:autoSpaceDE/>
        <w:autoSpaceDN/>
        <w:spacing w:before="120"/>
        <w:ind w:left="1417" w:hanging="425"/>
        <w:jc w:val="both"/>
      </w:pPr>
      <w:r>
        <w:t>Pokud je vše v pořádku, komunikační server předá zprávu k dalšímu zpracování aplikačnímu serveru CDS.</w:t>
      </w:r>
    </w:p>
    <w:p w:rsidR="0051727F" w:rsidRDefault="0051727F" w:rsidP="0051727F">
      <w:pPr>
        <w:numPr>
          <w:ilvl w:val="0"/>
          <w:numId w:val="4"/>
        </w:numPr>
        <w:tabs>
          <w:tab w:val="clear" w:pos="720"/>
          <w:tab w:val="num" w:pos="1418"/>
        </w:tabs>
        <w:autoSpaceDE/>
        <w:autoSpaceDN/>
        <w:spacing w:before="120"/>
        <w:ind w:left="1417" w:hanging="425"/>
        <w:jc w:val="both"/>
      </w:pPr>
      <w:r>
        <w:t>Aplikační server CDS data zpracuje (provede definované kontroly elektronické faktury) a výsledek zpracování vrátí komunikačnímu serveru k odeslání.</w:t>
      </w:r>
    </w:p>
    <w:p w:rsidR="0051727F" w:rsidRDefault="0051727F" w:rsidP="0051727F">
      <w:pPr>
        <w:numPr>
          <w:ilvl w:val="0"/>
          <w:numId w:val="4"/>
        </w:numPr>
        <w:tabs>
          <w:tab w:val="clear" w:pos="720"/>
          <w:tab w:val="num" w:pos="1418"/>
        </w:tabs>
        <w:autoSpaceDE/>
        <w:autoSpaceDN/>
        <w:spacing w:before="120"/>
        <w:ind w:left="1417" w:hanging="425"/>
        <w:jc w:val="both"/>
      </w:pPr>
      <w:r>
        <w:t>Komunikační server předá příjemci původní zprávu (včetně XML podpisu odesílatele), podepíše certifikátem pro elektronický podpis OTE a případně zašifruje (v případě SMTP). Zprávu odešle dál vybraným kanálem na definovanou adresu.</w:t>
      </w:r>
    </w:p>
    <w:p w:rsidR="0051727F" w:rsidRDefault="0051727F" w:rsidP="0051727F">
      <w:pPr>
        <w:pStyle w:val="Nadpis2"/>
        <w:ind w:left="0" w:firstLine="0"/>
      </w:pPr>
      <w:bookmarkStart w:id="13" w:name="_Toc250047863"/>
      <w:bookmarkStart w:id="14" w:name="_Toc280612927"/>
      <w:r>
        <w:t>Popis struktury dokladu elektronické faktury</w:t>
      </w:r>
      <w:bookmarkEnd w:id="13"/>
      <w:bookmarkEnd w:id="14"/>
    </w:p>
    <w:p w:rsidR="0051727F" w:rsidRDefault="0051727F" w:rsidP="0051727F">
      <w:pPr>
        <w:pStyle w:val="Nadpis3"/>
        <w:ind w:left="0" w:firstLine="0"/>
      </w:pPr>
      <w:bookmarkStart w:id="15" w:name="_Toc250047864"/>
      <w:bookmarkStart w:id="16" w:name="_Toc280612928"/>
      <w:r>
        <w:t>Základní vlastnosti</w:t>
      </w:r>
      <w:bookmarkEnd w:id="15"/>
      <w:bookmarkEnd w:id="16"/>
    </w:p>
    <w:p w:rsidR="0051727F" w:rsidRDefault="0051727F" w:rsidP="0051727F">
      <w:r>
        <w:t>Formát zprávy CDSGASINVOICE je navržen univerzálně tak, aby pokrýval všechny požadované typy předávaných dokladů, které mohou být předávány v rámci fakturace regulovaných služeb mezi PDS a obchodníkem, nebo mezi OTE a účastníky trhu s plynem.</w:t>
      </w:r>
    </w:p>
    <w:p w:rsidR="0051727F" w:rsidRDefault="0051727F" w:rsidP="0051727F">
      <w:r>
        <w:t>Příklady základních typů dokladů podporované formátem CDSGASINVOICE jsou uvedeny v následující tabulce.</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7"/>
        <w:gridCol w:w="3923"/>
        <w:gridCol w:w="2340"/>
      </w:tblGrid>
      <w:tr w:rsidR="0051727F" w:rsidTr="00870D66">
        <w:trPr>
          <w:trHeight w:val="288"/>
          <w:tblHeader/>
        </w:trPr>
        <w:tc>
          <w:tcPr>
            <w:tcW w:w="1117" w:type="dxa"/>
            <w:shd w:val="clear" w:color="auto" w:fill="C0C0C0"/>
            <w:vAlign w:val="center"/>
          </w:tcPr>
          <w:p w:rsidR="0051727F" w:rsidRDefault="0051727F" w:rsidP="00870D66">
            <w:pPr>
              <w:pStyle w:val="Texttabulky"/>
              <w:spacing w:before="0" w:after="0"/>
              <w:jc w:val="center"/>
              <w:rPr>
                <w:b/>
              </w:rPr>
            </w:pPr>
            <w:r>
              <w:rPr>
                <w:b/>
              </w:rPr>
              <w:t>Dokument</w:t>
            </w:r>
          </w:p>
          <w:p w:rsidR="0051727F" w:rsidRDefault="0051727F" w:rsidP="00870D66">
            <w:pPr>
              <w:pStyle w:val="Texttabulky"/>
              <w:spacing w:before="0" w:after="0"/>
              <w:jc w:val="center"/>
              <w:rPr>
                <w:b/>
              </w:rPr>
            </w:pPr>
            <w:r>
              <w:rPr>
                <w:b/>
              </w:rPr>
              <w:cr/>
              <w:t>oc-type</w:t>
            </w:r>
          </w:p>
        </w:tc>
        <w:tc>
          <w:tcPr>
            <w:tcW w:w="3923" w:type="dxa"/>
            <w:shd w:val="clear" w:color="auto" w:fill="C0C0C0"/>
            <w:vAlign w:val="center"/>
          </w:tcPr>
          <w:p w:rsidR="0051727F" w:rsidRDefault="0051727F" w:rsidP="00870D66">
            <w:pPr>
              <w:pStyle w:val="Texttabulky"/>
              <w:spacing w:before="0" w:after="0"/>
              <w:jc w:val="center"/>
              <w:rPr>
                <w:b/>
              </w:rPr>
            </w:pPr>
            <w:r>
              <w:rPr>
                <w:b/>
              </w:rPr>
              <w:t>Typ d</w:t>
            </w:r>
            <w:r>
              <w:rPr>
                <w:b/>
              </w:rPr>
              <w:cr/>
              <w:t>kladu</w:t>
            </w:r>
          </w:p>
        </w:tc>
        <w:tc>
          <w:tcPr>
            <w:tcW w:w="2340" w:type="dxa"/>
            <w:shd w:val="clear" w:color="auto" w:fill="C0C0C0"/>
            <w:vAlign w:val="center"/>
          </w:tcPr>
          <w:p w:rsidR="0051727F" w:rsidRDefault="0051727F" w:rsidP="00870D66">
            <w:pPr>
              <w:pStyle w:val="Texttabulky"/>
              <w:spacing w:before="0" w:after="0"/>
              <w:jc w:val="center"/>
              <w:rPr>
                <w:b/>
              </w:rPr>
            </w:pPr>
            <w:r>
              <w:rPr>
                <w:b/>
              </w:rPr>
              <w:t>Pozn</w:t>
            </w:r>
            <w:r>
              <w:rPr>
                <w:b/>
              </w:rPr>
              <w:cr/>
              <w:t>mka</w:t>
            </w:r>
          </w:p>
        </w:tc>
      </w:tr>
      <w:tr w:rsidR="0051727F" w:rsidTr="00870D66">
        <w:trPr>
          <w:cantSplit/>
          <w:trHeight w:val="288"/>
        </w:trPr>
        <w:tc>
          <w:tcPr>
            <w:tcW w:w="1117" w:type="dxa"/>
          </w:tcPr>
          <w:p w:rsidR="0051727F" w:rsidRDefault="0051727F" w:rsidP="00870D66">
            <w:pPr>
              <w:pStyle w:val="Texttabulky"/>
              <w:spacing w:before="0" w:after="0"/>
            </w:pPr>
            <w:r>
              <w:rPr>
                <w:color w:val="000000"/>
                <w:highlight w:val="white"/>
              </w:rPr>
              <w:t>A01</w:t>
            </w:r>
          </w:p>
        </w:tc>
        <w:tc>
          <w:tcPr>
            <w:tcW w:w="3923" w:type="dxa"/>
          </w:tcPr>
          <w:p w:rsidR="0051727F" w:rsidRDefault="0051727F" w:rsidP="00870D66">
            <w:pPr>
              <w:pStyle w:val="Texttabulky"/>
              <w:spacing w:before="0" w:after="0"/>
              <w:jc w:val="left"/>
            </w:pPr>
            <w:r>
              <w:rPr>
                <w:color w:val="000000"/>
                <w:highlight w:val="white"/>
              </w:rPr>
              <w:t>Agregovaná faktura -  krycí list</w:t>
            </w:r>
          </w:p>
        </w:tc>
        <w:tc>
          <w:tcPr>
            <w:tcW w:w="2340" w:type="dxa"/>
            <w:vMerge w:val="restart"/>
          </w:tcPr>
          <w:p w:rsidR="0051727F" w:rsidRDefault="0051727F" w:rsidP="00870D66">
            <w:pPr>
              <w:pStyle w:val="Texttabulky"/>
              <w:spacing w:before="0" w:after="0"/>
              <w:jc w:val="left"/>
            </w:pPr>
            <w:r>
              <w:t>Celkový doklad  - agregovaný. Buď jsou připojeny dílčí doklady za jednotlivá OPM nebo jsou součástí dokladu bloky specifikující položky OPM. Může být daňový nebo nedaňový</w:t>
            </w:r>
          </w:p>
        </w:tc>
      </w:tr>
      <w:tr w:rsidR="0051727F" w:rsidTr="00870D66">
        <w:trPr>
          <w:cantSplit/>
        </w:trPr>
        <w:tc>
          <w:tcPr>
            <w:tcW w:w="1117" w:type="dxa"/>
          </w:tcPr>
          <w:p w:rsidR="0051727F" w:rsidRDefault="0051727F" w:rsidP="00870D66">
            <w:pPr>
              <w:pStyle w:val="Texttabulky"/>
              <w:spacing w:before="0" w:after="0"/>
            </w:pPr>
            <w:r>
              <w:rPr>
                <w:color w:val="000000"/>
                <w:highlight w:val="white"/>
              </w:rPr>
              <w:t>A02</w:t>
            </w:r>
          </w:p>
        </w:tc>
        <w:tc>
          <w:tcPr>
            <w:tcW w:w="3923" w:type="dxa"/>
          </w:tcPr>
          <w:p w:rsidR="0051727F" w:rsidRDefault="0051727F" w:rsidP="00870D66">
            <w:pPr>
              <w:pStyle w:val="Texttabulky"/>
              <w:spacing w:before="0" w:after="0"/>
              <w:jc w:val="left"/>
            </w:pPr>
            <w:r>
              <w:rPr>
                <w:color w:val="000000"/>
                <w:highlight w:val="white"/>
              </w:rPr>
              <w:t>Agregovaná záloha -  krycí list</w:t>
            </w:r>
          </w:p>
        </w:tc>
        <w:tc>
          <w:tcPr>
            <w:tcW w:w="2340" w:type="dxa"/>
            <w:vMerge/>
          </w:tcPr>
          <w:p w:rsidR="0051727F"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pPr>
            <w:r w:rsidRPr="006A2277">
              <w:rPr>
                <w:color w:val="000000"/>
              </w:rPr>
              <w:t>B01</w:t>
            </w:r>
          </w:p>
        </w:tc>
        <w:tc>
          <w:tcPr>
            <w:tcW w:w="3923" w:type="dxa"/>
          </w:tcPr>
          <w:p w:rsidR="0051727F" w:rsidRPr="006A2277" w:rsidRDefault="0051727F" w:rsidP="00870D66">
            <w:pPr>
              <w:pStyle w:val="Texttabulky"/>
              <w:spacing w:before="0" w:after="0"/>
              <w:jc w:val="left"/>
            </w:pPr>
            <w:r w:rsidRPr="006A2277">
              <w:rPr>
                <w:color w:val="000000"/>
              </w:rPr>
              <w:t xml:space="preserve">Agregovaná faktura – dílčí doklad - řádná </w:t>
            </w:r>
            <w:r>
              <w:rPr>
                <w:color w:val="000000"/>
              </w:rPr>
              <w:t>MODOM</w:t>
            </w:r>
          </w:p>
        </w:tc>
        <w:tc>
          <w:tcPr>
            <w:tcW w:w="2340" w:type="dxa"/>
            <w:vMerge w:val="restart"/>
          </w:tcPr>
          <w:p w:rsidR="0051727F" w:rsidRPr="006A2277" w:rsidRDefault="0051727F" w:rsidP="00870D66">
            <w:pPr>
              <w:pStyle w:val="Texttabulky"/>
              <w:spacing w:before="0" w:after="0"/>
              <w:jc w:val="left"/>
            </w:pPr>
            <w:r w:rsidRPr="006A2277">
              <w:t>Doklad je součástí skupiny dokladů, k</w:t>
            </w:r>
            <w:r w:rsidRPr="006A2277">
              <w:cr/>
              <w:t>e je jeden agregovaný a více dílčích dokladů. V případě, že je agregovaný doklad daňový, dílčí není daňový a naopak.</w:t>
            </w: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B0</w:t>
            </w:r>
            <w:r>
              <w:rPr>
                <w:color w:val="000000"/>
              </w:rPr>
              <w:t>2</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řádná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B0</w:t>
            </w:r>
            <w:r>
              <w:rPr>
                <w:color w:val="000000"/>
              </w:rPr>
              <w:t>3</w:t>
            </w:r>
          </w:p>
        </w:tc>
        <w:tc>
          <w:tcPr>
            <w:tcW w:w="3923" w:type="dxa"/>
          </w:tcPr>
          <w:p w:rsidR="0051727F" w:rsidRPr="006A2277" w:rsidRDefault="0051727F" w:rsidP="00870D66">
            <w:pPr>
              <w:pStyle w:val="Texttabulky"/>
              <w:spacing w:before="0" w:after="0"/>
              <w:jc w:val="left"/>
              <w:rPr>
                <w:color w:val="000000"/>
              </w:rPr>
            </w:pPr>
            <w:r w:rsidRPr="006A2277">
              <w:rPr>
                <w:color w:val="000000"/>
              </w:rPr>
              <w:t>Agregovaná faktura – dílčí doklad - mimořádná</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B0</w:t>
            </w:r>
            <w:r>
              <w:rPr>
                <w:color w:val="000000"/>
              </w:rPr>
              <w:t>4</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mimořádná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B0</w:t>
            </w:r>
            <w:r>
              <w:rPr>
                <w:color w:val="000000"/>
              </w:rPr>
              <w:t>5</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dobropis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B0</w:t>
            </w:r>
            <w:r>
              <w:rPr>
                <w:color w:val="000000"/>
              </w:rPr>
              <w:t>6</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dobropis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lastRenderedPageBreak/>
              <w:t>B</w:t>
            </w:r>
            <w:r>
              <w:rPr>
                <w:color w:val="000000"/>
              </w:rPr>
              <w:t>07</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vrubopis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w:t>
            </w:r>
            <w:r>
              <w:rPr>
                <w:color w:val="000000"/>
              </w:rPr>
              <w:t>08</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vrubopis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w:t>
            </w:r>
            <w:r>
              <w:rPr>
                <w:color w:val="000000"/>
              </w:rPr>
              <w:t>09</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konečná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w:t>
            </w:r>
            <w:r>
              <w:rPr>
                <w:color w:val="000000"/>
              </w:rPr>
              <w:t>10</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Agregovaná faktura – dílčí doklad – </w:t>
            </w:r>
          </w:p>
          <w:p w:rsidR="0051727F" w:rsidRPr="006A2277" w:rsidRDefault="0051727F" w:rsidP="00870D66">
            <w:pPr>
              <w:pStyle w:val="Texttabulky"/>
              <w:spacing w:before="0" w:after="0"/>
              <w:jc w:val="left"/>
              <w:rPr>
                <w:color w:val="000000"/>
              </w:rPr>
            </w:pPr>
            <w:r w:rsidRPr="006A2277">
              <w:rPr>
                <w:color w:val="000000"/>
              </w:rPr>
              <w:t xml:space="preserve">konečná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w:t>
            </w:r>
            <w:r>
              <w:rPr>
                <w:color w:val="000000"/>
              </w:rPr>
              <w:t>11</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Agregovaný předpis záloh – dílčí doklad - </w:t>
            </w:r>
            <w:r>
              <w:rPr>
                <w:color w:val="000000"/>
              </w:rPr>
              <w:t>MODOM</w:t>
            </w:r>
            <w:r w:rsidRPr="00D90D05">
              <w:rPr>
                <w:color w:val="000000"/>
              </w:rPr>
              <w:t xml:space="preserve"> </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B</w:t>
            </w:r>
            <w:r>
              <w:rPr>
                <w:color w:val="000000"/>
              </w:rPr>
              <w:t>12</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Agregovaný předpis záloh – dílčí doklad -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C01</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řádná </w:t>
            </w:r>
            <w:r>
              <w:rPr>
                <w:color w:val="000000"/>
              </w:rPr>
              <w:t>MODOM</w:t>
            </w:r>
          </w:p>
        </w:tc>
        <w:tc>
          <w:tcPr>
            <w:tcW w:w="2340" w:type="dxa"/>
            <w:vMerge w:val="restart"/>
          </w:tcPr>
          <w:p w:rsidR="0051727F" w:rsidRPr="006A2277" w:rsidRDefault="0051727F" w:rsidP="00870D66">
            <w:pPr>
              <w:pStyle w:val="Texttabulky"/>
              <w:spacing w:before="0" w:after="0"/>
              <w:jc w:val="left"/>
            </w:pPr>
            <w:r w:rsidRPr="006A2277">
              <w:t>Individuální doklad.</w:t>
            </w: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C0</w:t>
            </w:r>
            <w:r>
              <w:rPr>
                <w:color w:val="000000"/>
              </w:rPr>
              <w:t>2</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řádná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Pr>
                <w:color w:val="000000"/>
              </w:rPr>
              <w:t>C</w:t>
            </w:r>
            <w:r w:rsidRPr="006A2277">
              <w:rPr>
                <w:color w:val="000000"/>
              </w:rPr>
              <w:t>0</w:t>
            </w:r>
            <w:r>
              <w:rPr>
                <w:color w:val="000000"/>
              </w:rPr>
              <w:t>3</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mimořádná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C0</w:t>
            </w:r>
            <w:r>
              <w:rPr>
                <w:color w:val="000000"/>
              </w:rPr>
              <w:t>4</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mimořádná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C0</w:t>
            </w:r>
            <w:r>
              <w:rPr>
                <w:color w:val="000000"/>
              </w:rPr>
              <w:t>5</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dobropis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C0</w:t>
            </w:r>
            <w:r>
              <w:rPr>
                <w:color w:val="000000"/>
              </w:rPr>
              <w:t>6</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dobropis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Pr>
                <w:color w:val="000000"/>
              </w:rPr>
              <w:t>C07</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w:t>
            </w:r>
            <w:r w:rsidRPr="006A2277">
              <w:rPr>
                <w:color w:val="000000"/>
              </w:rPr>
              <w:cr/>
              <w:t xml:space="preserve">aktura – vrubopis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w:t>
            </w:r>
            <w:r>
              <w:rPr>
                <w:color w:val="000000"/>
              </w:rPr>
              <w:t>08</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vrubopis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w:t>
            </w:r>
            <w:r>
              <w:rPr>
                <w:color w:val="000000"/>
              </w:rPr>
              <w:t>09</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konečná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w:t>
            </w:r>
            <w:r>
              <w:rPr>
                <w:color w:val="000000"/>
              </w:rPr>
              <w:t>10</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faktura - konečná faktura –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w:t>
            </w:r>
            <w:r>
              <w:rPr>
                <w:color w:val="000000"/>
              </w:rPr>
              <w:t>11</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předpis záloh </w:t>
            </w:r>
            <w:r>
              <w:rPr>
                <w:color w:val="000000"/>
              </w:rPr>
              <w:t>MODOM</w:t>
            </w:r>
          </w:p>
        </w:tc>
        <w:tc>
          <w:tcPr>
            <w:tcW w:w="2340" w:type="dxa"/>
            <w:vMerge/>
          </w:tcPr>
          <w:p w:rsidR="0051727F" w:rsidRPr="006A2277" w:rsidRDefault="0051727F" w:rsidP="00870D66">
            <w:pPr>
              <w:pStyle w:val="Texttabulky"/>
              <w:spacing w:before="0" w:after="0"/>
              <w:jc w:val="left"/>
            </w:pPr>
          </w:p>
        </w:tc>
      </w:tr>
      <w:tr w:rsidR="0051727F" w:rsidRPr="00D90D05" w:rsidTr="00870D66">
        <w:trPr>
          <w:cantSplit/>
          <w:trHeight w:val="288"/>
        </w:trPr>
        <w:tc>
          <w:tcPr>
            <w:tcW w:w="1117" w:type="dxa"/>
          </w:tcPr>
          <w:p w:rsidR="0051727F" w:rsidRPr="006A2277" w:rsidRDefault="0051727F" w:rsidP="00870D66">
            <w:pPr>
              <w:pStyle w:val="Texttabulky"/>
              <w:spacing w:before="0" w:after="0"/>
              <w:rPr>
                <w:color w:val="000000"/>
              </w:rPr>
            </w:pPr>
            <w:r w:rsidRPr="006A2277">
              <w:rPr>
                <w:color w:val="000000"/>
              </w:rPr>
              <w:t>C</w:t>
            </w:r>
            <w:r>
              <w:rPr>
                <w:color w:val="000000"/>
              </w:rPr>
              <w:t>12</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Individuální předpis záloh </w:t>
            </w:r>
            <w:r>
              <w:rPr>
                <w:color w:val="000000"/>
              </w:rPr>
              <w:t>VOSO</w:t>
            </w:r>
          </w:p>
        </w:tc>
        <w:tc>
          <w:tcPr>
            <w:tcW w:w="2340" w:type="dxa"/>
            <w:vMerge/>
          </w:tcPr>
          <w:p w:rsidR="0051727F" w:rsidRPr="006A2277" w:rsidRDefault="0051727F" w:rsidP="00870D66">
            <w:pPr>
              <w:pStyle w:val="Texttabulky"/>
              <w:spacing w:before="0" w:after="0"/>
              <w:jc w:val="left"/>
            </w:pPr>
          </w:p>
        </w:tc>
      </w:tr>
      <w:tr w:rsidR="0051727F" w:rsidRPr="00D90D05" w:rsidTr="00870D66">
        <w:trPr>
          <w:trHeight w:val="288"/>
        </w:trPr>
        <w:tc>
          <w:tcPr>
            <w:tcW w:w="1117" w:type="dxa"/>
          </w:tcPr>
          <w:p w:rsidR="0051727F" w:rsidRPr="006A2277" w:rsidRDefault="0051727F" w:rsidP="00870D66">
            <w:pPr>
              <w:pStyle w:val="Texttabulky"/>
              <w:spacing w:before="0" w:after="0"/>
              <w:rPr>
                <w:color w:val="000000"/>
              </w:rPr>
            </w:pPr>
            <w:r w:rsidRPr="006A2277">
              <w:rPr>
                <w:color w:val="000000"/>
              </w:rPr>
              <w:t>D01</w:t>
            </w:r>
          </w:p>
        </w:tc>
        <w:tc>
          <w:tcPr>
            <w:tcW w:w="3923" w:type="dxa"/>
          </w:tcPr>
          <w:p w:rsidR="0051727F" w:rsidRPr="006A2277" w:rsidRDefault="0051727F" w:rsidP="00870D66">
            <w:pPr>
              <w:pStyle w:val="Texttabulky"/>
              <w:spacing w:before="0" w:after="0"/>
              <w:jc w:val="left"/>
              <w:rPr>
                <w:color w:val="000000"/>
              </w:rPr>
            </w:pPr>
            <w:r w:rsidRPr="006A2277">
              <w:rPr>
                <w:color w:val="000000"/>
              </w:rPr>
              <w:t xml:space="preserve">Přijatá platba </w:t>
            </w:r>
            <w:r w:rsidRPr="006A2277">
              <w:rPr>
                <w:color w:val="000000"/>
              </w:rPr>
              <w:cr/>
              <w:t xml:space="preserve"> krycí list</w:t>
            </w:r>
          </w:p>
        </w:tc>
        <w:tc>
          <w:tcPr>
            <w:tcW w:w="2340" w:type="dxa"/>
          </w:tcPr>
          <w:p w:rsidR="0051727F" w:rsidRPr="006A2277" w:rsidRDefault="0051727F" w:rsidP="00870D66">
            <w:pPr>
              <w:pStyle w:val="Texttabulky"/>
              <w:spacing w:before="0" w:after="0"/>
              <w:jc w:val="left"/>
            </w:pPr>
            <w:r w:rsidRPr="006A2277">
              <w:t>Doklad na přijatou platbu, daňový.</w:t>
            </w:r>
          </w:p>
        </w:tc>
      </w:tr>
      <w:tr w:rsidR="0051727F" w:rsidRPr="00D90D05" w:rsidTr="00870D66">
        <w:trPr>
          <w:trHeight w:val="288"/>
        </w:trPr>
        <w:tc>
          <w:tcPr>
            <w:tcW w:w="1117" w:type="dxa"/>
          </w:tcPr>
          <w:p w:rsidR="0051727F" w:rsidRPr="00D90D05" w:rsidRDefault="0051727F" w:rsidP="00870D66">
            <w:pPr>
              <w:pStyle w:val="Texttabulky"/>
              <w:spacing w:before="0" w:after="0"/>
              <w:rPr>
                <w:color w:val="000000"/>
              </w:rPr>
            </w:pPr>
            <w:r w:rsidRPr="00D90D05">
              <w:rPr>
                <w:color w:val="000000"/>
              </w:rPr>
              <w:t>E01</w:t>
            </w:r>
          </w:p>
        </w:tc>
        <w:tc>
          <w:tcPr>
            <w:tcW w:w="3923" w:type="dxa"/>
          </w:tcPr>
          <w:p w:rsidR="0051727F" w:rsidRPr="00D90D05" w:rsidRDefault="0051727F" w:rsidP="00870D66">
            <w:pPr>
              <w:pStyle w:val="Texttabulky"/>
              <w:spacing w:before="0" w:after="0"/>
              <w:jc w:val="left"/>
              <w:rPr>
                <w:color w:val="000000"/>
              </w:rPr>
            </w:pPr>
            <w:r w:rsidRPr="00D90D05">
              <w:rPr>
                <w:color w:val="000000"/>
              </w:rPr>
              <w:t>Faktura za služby OTE</w:t>
            </w:r>
          </w:p>
        </w:tc>
        <w:tc>
          <w:tcPr>
            <w:tcW w:w="2340" w:type="dxa"/>
            <w:vMerge w:val="restart"/>
          </w:tcPr>
          <w:p w:rsidR="0051727F" w:rsidRPr="00D90D05" w:rsidRDefault="0051727F" w:rsidP="00870D66">
            <w:pPr>
              <w:pStyle w:val="Texttabulky"/>
              <w:spacing w:before="0" w:after="0"/>
              <w:jc w:val="left"/>
            </w:pPr>
            <w:r w:rsidRPr="00D90D05">
              <w:t>Daňový doklad</w:t>
            </w:r>
          </w:p>
        </w:tc>
      </w:tr>
      <w:tr w:rsidR="0051727F" w:rsidRPr="00D90D05" w:rsidTr="00870D66">
        <w:trPr>
          <w:trHeight w:val="288"/>
        </w:trPr>
        <w:tc>
          <w:tcPr>
            <w:tcW w:w="1117" w:type="dxa"/>
          </w:tcPr>
          <w:p w:rsidR="0051727F" w:rsidRPr="006A2277" w:rsidRDefault="0051727F" w:rsidP="00870D66">
            <w:pPr>
              <w:pStyle w:val="Texttabulky"/>
              <w:spacing w:before="0" w:after="0"/>
              <w:rPr>
                <w:color w:val="000000"/>
              </w:rPr>
            </w:pPr>
            <w:r w:rsidRPr="006A2277">
              <w:rPr>
                <w:color w:val="000000"/>
              </w:rPr>
              <w:t>E02</w:t>
            </w:r>
          </w:p>
        </w:tc>
        <w:tc>
          <w:tcPr>
            <w:tcW w:w="3923" w:type="dxa"/>
          </w:tcPr>
          <w:p w:rsidR="0051727F" w:rsidRPr="006A2277" w:rsidRDefault="0051727F" w:rsidP="00870D66">
            <w:pPr>
              <w:pStyle w:val="Texttabulky"/>
              <w:spacing w:before="0" w:after="0"/>
              <w:jc w:val="left"/>
              <w:rPr>
                <w:color w:val="000000"/>
              </w:rPr>
            </w:pPr>
            <w:r w:rsidRPr="006A2277">
              <w:rPr>
                <w:color w:val="000000"/>
              </w:rPr>
              <w:t>Dobropis za služby OTE</w:t>
            </w:r>
          </w:p>
        </w:tc>
        <w:tc>
          <w:tcPr>
            <w:tcW w:w="2340" w:type="dxa"/>
            <w:vMerge/>
          </w:tcPr>
          <w:p w:rsidR="0051727F" w:rsidRPr="00D90D05" w:rsidRDefault="0051727F" w:rsidP="00870D66">
            <w:pPr>
              <w:pStyle w:val="Texttabulky"/>
              <w:spacing w:before="0" w:after="0"/>
              <w:jc w:val="left"/>
            </w:pPr>
          </w:p>
        </w:tc>
      </w:tr>
      <w:tr w:rsidR="0051727F" w:rsidTr="00870D66">
        <w:trPr>
          <w:trHeight w:val="288"/>
        </w:trPr>
        <w:tc>
          <w:tcPr>
            <w:tcW w:w="1117" w:type="dxa"/>
          </w:tcPr>
          <w:p w:rsidR="0051727F" w:rsidRPr="006A2277" w:rsidRDefault="0051727F" w:rsidP="00870D66">
            <w:pPr>
              <w:pStyle w:val="Texttabulky"/>
              <w:spacing w:before="0" w:after="0"/>
              <w:rPr>
                <w:color w:val="000000"/>
              </w:rPr>
            </w:pPr>
            <w:r w:rsidRPr="006A2277">
              <w:rPr>
                <w:color w:val="000000"/>
              </w:rPr>
              <w:t>E03</w:t>
            </w:r>
          </w:p>
        </w:tc>
        <w:tc>
          <w:tcPr>
            <w:tcW w:w="3923" w:type="dxa"/>
          </w:tcPr>
          <w:p w:rsidR="0051727F" w:rsidRPr="006A2277" w:rsidRDefault="0051727F" w:rsidP="00870D66">
            <w:pPr>
              <w:pStyle w:val="Texttabulky"/>
              <w:spacing w:before="0" w:after="0"/>
              <w:jc w:val="left"/>
              <w:rPr>
                <w:color w:val="000000"/>
              </w:rPr>
            </w:pPr>
            <w:r w:rsidRPr="006A2277">
              <w:rPr>
                <w:color w:val="000000"/>
              </w:rPr>
              <w:t>Vrubopis za služby OTE</w:t>
            </w:r>
          </w:p>
        </w:tc>
        <w:tc>
          <w:tcPr>
            <w:tcW w:w="2340" w:type="dxa"/>
            <w:vMerge/>
          </w:tcPr>
          <w:p w:rsidR="0051727F" w:rsidRPr="00045E0F" w:rsidRDefault="0051727F" w:rsidP="00870D66">
            <w:pPr>
              <w:pStyle w:val="Texttabulky"/>
              <w:spacing w:before="0" w:after="0"/>
              <w:jc w:val="left"/>
            </w:pPr>
          </w:p>
        </w:tc>
      </w:tr>
    </w:tbl>
    <w:p w:rsidR="0051727F" w:rsidRDefault="0051727F" w:rsidP="0051727F">
      <w:pPr>
        <w:pStyle w:val="Titulek"/>
        <w:spacing w:after="240"/>
        <w:ind w:left="1138"/>
        <w:jc w:val="center"/>
      </w:pPr>
      <w:bookmarkStart w:id="17" w:name="_Toc280544963"/>
      <w:r>
        <w:t xml:space="preserve">Tabulka </w:t>
      </w:r>
      <w:r>
        <w:fldChar w:fldCharType="begin"/>
      </w:r>
      <w:r>
        <w:instrText xml:space="preserve"> SEQ Tabulka \* ARABIC </w:instrText>
      </w:r>
      <w:r>
        <w:fldChar w:fldCharType="separate"/>
      </w:r>
      <w:r>
        <w:rPr>
          <w:noProof/>
        </w:rPr>
        <w:t>3</w:t>
      </w:r>
      <w:r>
        <w:fldChar w:fldCharType="end"/>
      </w:r>
      <w:r>
        <w:t>: Typy dokladů CDSGASINVOICE</w:t>
      </w:r>
      <w:bookmarkEnd w:id="17"/>
    </w:p>
    <w:p w:rsidR="0051727F" w:rsidRDefault="0051727F" w:rsidP="0051727F">
      <w:pPr>
        <w:spacing w:before="120"/>
        <w:ind w:left="1138"/>
      </w:pPr>
      <w:r>
        <w:t>Při sestavení zprávy platí následující principy:</w:t>
      </w:r>
    </w:p>
    <w:p w:rsidR="0051727F" w:rsidRDefault="0051727F" w:rsidP="0051727F">
      <w:pPr>
        <w:numPr>
          <w:ilvl w:val="0"/>
          <w:numId w:val="2"/>
        </w:numPr>
        <w:tabs>
          <w:tab w:val="clear" w:pos="720"/>
          <w:tab w:val="num" w:pos="1701"/>
        </w:tabs>
        <w:autoSpaceDE/>
        <w:autoSpaceDN/>
        <w:ind w:left="1701" w:hanging="283"/>
        <w:jc w:val="both"/>
      </w:pPr>
      <w:r>
        <w:t>Doklady, které tvoří skupinu, lze posílat dvojím způsobem:</w:t>
      </w:r>
    </w:p>
    <w:p w:rsidR="0051727F" w:rsidRDefault="0051727F" w:rsidP="0051727F">
      <w:pPr>
        <w:numPr>
          <w:ilvl w:val="2"/>
          <w:numId w:val="2"/>
        </w:numPr>
        <w:autoSpaceDE/>
        <w:autoSpaceDN/>
        <w:jc w:val="both"/>
      </w:pPr>
      <w:r>
        <w:t>V rámci jedné zprávy (v případě menšího počtu dílčích dokladů)</w:t>
      </w:r>
    </w:p>
    <w:p w:rsidR="0051727F" w:rsidRDefault="0051727F" w:rsidP="0051727F">
      <w:pPr>
        <w:numPr>
          <w:ilvl w:val="2"/>
          <w:numId w:val="2"/>
        </w:numPr>
        <w:autoSpaceDE/>
        <w:autoSpaceDN/>
        <w:jc w:val="both"/>
      </w:pPr>
      <w:r>
        <w:t>Rozdělené do několika zpráv – hlavní doklad je zasílán v samostatné zprávě s uvedením počtu příloh (viz dále), ostatní doklady jsou zasílány po skupinách v dalších zprávách. Doporučená velikost jedné zprávy je max. 5MB (odpovídá množství 500 – 900 dílčích dokladů)</w:t>
      </w:r>
    </w:p>
    <w:p w:rsidR="0051727F" w:rsidRDefault="0051727F" w:rsidP="0051727F">
      <w:pPr>
        <w:numPr>
          <w:ilvl w:val="0"/>
          <w:numId w:val="2"/>
        </w:numPr>
        <w:tabs>
          <w:tab w:val="clear" w:pos="720"/>
          <w:tab w:val="num" w:pos="1701"/>
        </w:tabs>
        <w:autoSpaceDE/>
        <w:autoSpaceDN/>
        <w:ind w:left="1701" w:hanging="283"/>
        <w:jc w:val="both"/>
      </w:pPr>
      <w:r>
        <w:t xml:space="preserve">Doklady, které tvoří skupinu v rámci jedné zprávy – jsou seskupeny v elementu </w:t>
      </w:r>
      <w:r>
        <w:rPr>
          <w:b/>
          <w:i/>
        </w:rPr>
        <w:t>DocumentEnvelope</w:t>
      </w:r>
      <w:r>
        <w:t>.</w:t>
      </w:r>
    </w:p>
    <w:p w:rsidR="0051727F" w:rsidRDefault="0051727F" w:rsidP="0051727F">
      <w:pPr>
        <w:numPr>
          <w:ilvl w:val="0"/>
          <w:numId w:val="2"/>
        </w:numPr>
        <w:tabs>
          <w:tab w:val="clear" w:pos="720"/>
          <w:tab w:val="num" w:pos="1701"/>
        </w:tabs>
        <w:autoSpaceDE/>
        <w:autoSpaceDN/>
        <w:ind w:left="1701" w:hanging="283"/>
        <w:jc w:val="both"/>
      </w:pPr>
      <w:r>
        <w:t xml:space="preserve">Typ dokladu je uveden v atributu </w:t>
      </w:r>
      <w:r w:rsidRPr="005D5B7D">
        <w:rPr>
          <w:b/>
        </w:rPr>
        <w:t>doc-type</w:t>
      </w:r>
      <w:r>
        <w:t xml:space="preserve"> XML elementu Dokument.</w:t>
      </w:r>
    </w:p>
    <w:p w:rsidR="0051727F" w:rsidRDefault="0051727F" w:rsidP="0051727F">
      <w:pPr>
        <w:numPr>
          <w:ilvl w:val="0"/>
          <w:numId w:val="2"/>
        </w:numPr>
        <w:tabs>
          <w:tab w:val="clear" w:pos="720"/>
          <w:tab w:val="num" w:pos="1701"/>
        </w:tabs>
        <w:autoSpaceDE/>
        <w:autoSpaceDN/>
        <w:ind w:left="1701" w:hanging="283"/>
        <w:jc w:val="both"/>
      </w:pPr>
      <w:r>
        <w:t>U každého typu dokladu je povinné dále rozlišit, zda je doklad daňový nebo nedaňový (</w:t>
      </w:r>
      <w:r>
        <w:rPr>
          <w:b/>
          <w:i/>
        </w:rPr>
        <w:t>Document tax-relevancy</w:t>
      </w:r>
      <w:r>
        <w:t xml:space="preserve">). </w:t>
      </w:r>
    </w:p>
    <w:p w:rsidR="0051727F" w:rsidRDefault="0051727F" w:rsidP="0051727F">
      <w:pPr>
        <w:numPr>
          <w:ilvl w:val="0"/>
          <w:numId w:val="2"/>
        </w:numPr>
        <w:tabs>
          <w:tab w:val="clear" w:pos="720"/>
          <w:tab w:val="num" w:pos="1701"/>
        </w:tabs>
        <w:autoSpaceDE/>
        <w:autoSpaceDN/>
        <w:ind w:left="1701" w:hanging="283"/>
        <w:jc w:val="both"/>
      </w:pPr>
      <w:r>
        <w:t xml:space="preserve">V případě, že se jedná od daňový dokad, je atribut </w:t>
      </w:r>
      <w:r>
        <w:rPr>
          <w:b/>
        </w:rPr>
        <w:t>Document doc-id</w:t>
      </w:r>
      <w:r>
        <w:t xml:space="preserve"> číslem daňového dokladu.</w:t>
      </w:r>
    </w:p>
    <w:p w:rsidR="0051727F" w:rsidRDefault="0051727F" w:rsidP="0051727F">
      <w:pPr>
        <w:numPr>
          <w:ilvl w:val="0"/>
          <w:numId w:val="2"/>
        </w:numPr>
        <w:tabs>
          <w:tab w:val="clear" w:pos="720"/>
          <w:tab w:val="num" w:pos="1701"/>
        </w:tabs>
        <w:autoSpaceDE/>
        <w:autoSpaceDN/>
        <w:ind w:left="1701" w:hanging="283"/>
        <w:jc w:val="both"/>
      </w:pPr>
      <w:r>
        <w:t>U dokumentu se dále rozliší, zda se jedná o hlavní nebo dílčí doklad (</w:t>
      </w:r>
      <w:r>
        <w:rPr>
          <w:b/>
          <w:i/>
        </w:rPr>
        <w:t>Document doc-level</w:t>
      </w:r>
      <w:r>
        <w:t>).</w:t>
      </w:r>
    </w:p>
    <w:p w:rsidR="0051727F" w:rsidRDefault="0051727F" w:rsidP="0051727F">
      <w:pPr>
        <w:numPr>
          <w:ilvl w:val="0"/>
          <w:numId w:val="2"/>
        </w:numPr>
        <w:tabs>
          <w:tab w:val="clear" w:pos="720"/>
          <w:tab w:val="num" w:pos="1701"/>
        </w:tabs>
        <w:autoSpaceDE/>
        <w:autoSpaceDN/>
        <w:ind w:left="1701" w:hanging="283"/>
        <w:jc w:val="both"/>
      </w:pPr>
      <w:r>
        <w:t xml:space="preserve">V atributu </w:t>
      </w:r>
      <w:r>
        <w:rPr>
          <w:b/>
        </w:rPr>
        <w:t xml:space="preserve">Document doc-atn </w:t>
      </w:r>
      <w:r>
        <w:t xml:space="preserve">se v případě hlavního dokumentu uvede počet příloh (dílčích faktur) zasílaných v samostatných zprávách, v případě dílčího </w:t>
      </w:r>
      <w:r>
        <w:lastRenderedPageBreak/>
        <w:t>dokumentu je v tomto atributu uvedeno pořadí přílohy. Dílčí doklady zasílané v samostatných zprávách musí být číslovány nepřerušenou řadou 1-n (napříč všemi zprávami, které obsahují přílohy k danému hlavnímu dokladu, nikoli pouze v rámci jedné zprávy). Pokud je zasílána celá skupina dokladů pohromadě v jedné zprávě, je atribut ponechán prázdný nebo obsahuje 0.</w:t>
      </w:r>
    </w:p>
    <w:p w:rsidR="0051727F" w:rsidRDefault="0051727F" w:rsidP="0051727F">
      <w:pPr>
        <w:numPr>
          <w:ilvl w:val="0"/>
          <w:numId w:val="2"/>
        </w:numPr>
        <w:tabs>
          <w:tab w:val="clear" w:pos="720"/>
          <w:tab w:val="num" w:pos="1701"/>
        </w:tabs>
        <w:autoSpaceDE/>
        <w:autoSpaceDN/>
        <w:ind w:left="1701" w:hanging="283"/>
        <w:jc w:val="both"/>
      </w:pPr>
      <w:r>
        <w:t xml:space="preserve">Atribut </w:t>
      </w:r>
      <w:r>
        <w:rPr>
          <w:b/>
        </w:rPr>
        <w:t xml:space="preserve">Document doc-ver </w:t>
      </w:r>
      <w:r>
        <w:t xml:space="preserve">je určen  pro verzi dokladu. Je-li přijata zpráva se stejným </w:t>
      </w:r>
      <w:r w:rsidRPr="008D342F">
        <w:rPr>
          <w:b/>
        </w:rPr>
        <w:t>doc-id</w:t>
      </w:r>
      <w:r>
        <w:t xml:space="preserve">, se kterým byla přijata zpráva již dříve, je nutné, aby byla nová zpráva odlišena pomocí </w:t>
      </w:r>
      <w:r w:rsidRPr="008D342F">
        <w:rPr>
          <w:b/>
        </w:rPr>
        <w:t>doc-ver</w:t>
      </w:r>
      <w:r>
        <w:t>, jinak je odmítnuta.</w:t>
      </w:r>
    </w:p>
    <w:p w:rsidR="0051727F" w:rsidRDefault="0051727F" w:rsidP="0051727F">
      <w:pPr>
        <w:pStyle w:val="Nadpis3"/>
        <w:ind w:left="0" w:firstLine="0"/>
        <w:rPr>
          <w:highlight w:val="white"/>
        </w:rPr>
      </w:pPr>
      <w:bookmarkStart w:id="18" w:name="_Toc250047865"/>
      <w:bookmarkStart w:id="19" w:name="_Toc280612929"/>
      <w:r>
        <w:rPr>
          <w:highlight w:val="white"/>
        </w:rPr>
        <w:t>Celková Struktura dokladu</w:t>
      </w:r>
      <w:bookmarkEnd w:id="18"/>
      <w:bookmarkEnd w:id="19"/>
    </w:p>
    <w:p w:rsidR="0051727F" w:rsidRDefault="0051727F" w:rsidP="0051727F">
      <w:pPr>
        <w:rPr>
          <w:highlight w:val="white"/>
        </w:rPr>
      </w:pPr>
      <w:r>
        <w:rPr>
          <w:highlight w:val="white"/>
        </w:rPr>
        <w:t>Každý doklad má následující strukturu:</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c>
          <w:tcPr>
            <w:tcW w:w="1710" w:type="dxa"/>
            <w:shd w:val="clear" w:color="auto" w:fill="C0C0C0"/>
            <w:vAlign w:val="center"/>
          </w:tcPr>
          <w:p w:rsidR="0051727F" w:rsidRDefault="0051727F" w:rsidP="00870D66">
            <w:pPr>
              <w:pStyle w:val="Texttabulky"/>
              <w:jc w:val="center"/>
              <w:rPr>
                <w:b/>
                <w:highlight w:val="white"/>
              </w:rPr>
            </w:pPr>
            <w:r>
              <w:rPr>
                <w:b/>
              </w:rPr>
              <w:t>Element</w:t>
            </w:r>
          </w:p>
        </w:tc>
        <w:tc>
          <w:tcPr>
            <w:tcW w:w="5670" w:type="dxa"/>
            <w:shd w:val="clear" w:color="auto" w:fill="C0C0C0"/>
            <w:vAlign w:val="center"/>
          </w:tcPr>
          <w:p w:rsidR="0051727F" w:rsidRDefault="0051727F" w:rsidP="00870D66">
            <w:pPr>
              <w:pStyle w:val="Texttabulky"/>
              <w:jc w:val="center"/>
              <w:rPr>
                <w:b/>
                <w:highlight w:val="white"/>
              </w:rPr>
            </w:pPr>
            <w:r>
              <w:rPr>
                <w:b/>
              </w:rPr>
              <w:t>Popis</w:t>
            </w:r>
          </w:p>
        </w:tc>
      </w:tr>
      <w:tr w:rsidR="0051727F" w:rsidTr="00870D66">
        <w:tc>
          <w:tcPr>
            <w:tcW w:w="1710" w:type="dxa"/>
          </w:tcPr>
          <w:p w:rsidR="0051727F" w:rsidRDefault="0051727F" w:rsidP="00870D66">
            <w:pPr>
              <w:pStyle w:val="Texttabulky"/>
              <w:rPr>
                <w:highlight w:val="white"/>
              </w:rPr>
            </w:pPr>
            <w:r>
              <w:rPr>
                <w:highlight w:val="white"/>
              </w:rPr>
              <w:t>DocHeader</w:t>
            </w:r>
          </w:p>
        </w:tc>
        <w:tc>
          <w:tcPr>
            <w:tcW w:w="5670" w:type="dxa"/>
          </w:tcPr>
          <w:p w:rsidR="0051727F" w:rsidRDefault="0051727F" w:rsidP="00870D66">
            <w:pPr>
              <w:pStyle w:val="Texttabulky"/>
              <w:spacing w:before="0" w:after="0"/>
              <w:rPr>
                <w:highlight w:val="white"/>
              </w:rPr>
            </w:pPr>
            <w:r>
              <w:rPr>
                <w:b/>
                <w:highlight w:val="white"/>
              </w:rPr>
              <w:t>Hlavička dokladu</w:t>
            </w:r>
            <w:r>
              <w:rPr>
                <w:highlight w:val="white"/>
              </w:rPr>
              <w:t xml:space="preserve"> obsahující identifikaci partnerů (zejména dodavatele a odběratele), data (splatnosti, vystavení dokladu, zdanitelného plnění, fakturační období), data pro identifikaci platby (např. variabilní symbol), odkaz na jiné doklady (např. při stornu na stornovaný doklad, na případnou smlouvu, objednávku apod.)</w:t>
            </w:r>
          </w:p>
          <w:p w:rsidR="0051727F" w:rsidRDefault="0051727F" w:rsidP="00870D66">
            <w:pPr>
              <w:pStyle w:val="Texttabulky"/>
              <w:spacing w:before="0" w:after="0"/>
              <w:rPr>
                <w:highlight w:val="white"/>
              </w:rPr>
            </w:pPr>
            <w:r>
              <w:rPr>
                <w:highlight w:val="white"/>
              </w:rPr>
              <w:t>Je zde možné umístit text – poznámku</w:t>
            </w:r>
          </w:p>
        </w:tc>
      </w:tr>
      <w:tr w:rsidR="0051727F" w:rsidTr="00870D66">
        <w:tc>
          <w:tcPr>
            <w:tcW w:w="1710" w:type="dxa"/>
          </w:tcPr>
          <w:p w:rsidR="0051727F" w:rsidRDefault="0051727F" w:rsidP="00870D66">
            <w:pPr>
              <w:pStyle w:val="Texttabulky"/>
              <w:rPr>
                <w:highlight w:val="white"/>
              </w:rPr>
            </w:pPr>
            <w:r>
              <w:rPr>
                <w:highlight w:val="white"/>
              </w:rPr>
              <w:t>DocDetail</w:t>
            </w:r>
          </w:p>
        </w:tc>
        <w:tc>
          <w:tcPr>
            <w:tcW w:w="5670" w:type="dxa"/>
          </w:tcPr>
          <w:p w:rsidR="0051727F" w:rsidRDefault="0051727F" w:rsidP="00870D66">
            <w:pPr>
              <w:pStyle w:val="Texttabulky"/>
              <w:spacing w:before="0" w:after="0"/>
              <w:rPr>
                <w:highlight w:val="white"/>
              </w:rPr>
            </w:pPr>
            <w:r>
              <w:rPr>
                <w:b/>
                <w:highlight w:val="white"/>
              </w:rPr>
              <w:t>Detail dokladu</w:t>
            </w:r>
            <w:r>
              <w:rPr>
                <w:highlight w:val="white"/>
              </w:rPr>
              <w:t xml:space="preserve"> – obsahuje položky dokladu (bez vazby na OPM) a/nebo bloky s daty zúčtování OPM.</w:t>
            </w:r>
          </w:p>
          <w:p w:rsidR="0051727F" w:rsidRDefault="0051727F" w:rsidP="00870D66">
            <w:pPr>
              <w:pStyle w:val="Texttabulky"/>
              <w:spacing w:before="0" w:after="0"/>
              <w:rPr>
                <w:highlight w:val="white"/>
              </w:rPr>
            </w:pPr>
            <w:r>
              <w:rPr>
                <w:highlight w:val="white"/>
              </w:rPr>
              <w:t>Je zde možné umístit text – poznámku.</w:t>
            </w:r>
          </w:p>
        </w:tc>
      </w:tr>
      <w:tr w:rsidR="0051727F" w:rsidTr="00870D66">
        <w:tc>
          <w:tcPr>
            <w:tcW w:w="1710" w:type="dxa"/>
          </w:tcPr>
          <w:p w:rsidR="0051727F" w:rsidRDefault="0051727F" w:rsidP="00870D66">
            <w:pPr>
              <w:pStyle w:val="Texttabulky"/>
              <w:rPr>
                <w:highlight w:val="white"/>
              </w:rPr>
            </w:pPr>
            <w:r>
              <w:rPr>
                <w:highlight w:val="white"/>
              </w:rPr>
              <w:t>DocSummary</w:t>
            </w:r>
          </w:p>
        </w:tc>
        <w:tc>
          <w:tcPr>
            <w:tcW w:w="5670" w:type="dxa"/>
          </w:tcPr>
          <w:p w:rsidR="0051727F" w:rsidRDefault="0051727F" w:rsidP="00870D66">
            <w:pPr>
              <w:pStyle w:val="Texttabulky"/>
              <w:spacing w:before="0" w:after="0"/>
              <w:rPr>
                <w:highlight w:val="white"/>
              </w:rPr>
            </w:pPr>
            <w:r>
              <w:rPr>
                <w:b/>
                <w:highlight w:val="white"/>
              </w:rPr>
              <w:t>Shrnutí dokladu</w:t>
            </w:r>
            <w:r>
              <w:rPr>
                <w:highlight w:val="white"/>
              </w:rPr>
              <w:t xml:space="preserve"> obsahující celkové částky dokladu, daňovou rekapitulaci, celkové shrnutí částek k zaplacení (fakturace minus zaplacené zálohy). </w:t>
            </w:r>
          </w:p>
          <w:p w:rsidR="0051727F" w:rsidRDefault="0051727F" w:rsidP="00870D66">
            <w:pPr>
              <w:pStyle w:val="Texttabulky"/>
              <w:spacing w:before="0" w:after="0"/>
              <w:rPr>
                <w:highlight w:val="white"/>
              </w:rPr>
            </w:pPr>
            <w:r>
              <w:rPr>
                <w:highlight w:val="white"/>
              </w:rPr>
              <w:t>Je zde možné umístit text – poznámku.</w:t>
            </w:r>
          </w:p>
        </w:tc>
      </w:tr>
    </w:tbl>
    <w:p w:rsidR="0051727F" w:rsidRDefault="0051727F" w:rsidP="0051727F">
      <w:pPr>
        <w:pStyle w:val="Titulek"/>
        <w:spacing w:after="240"/>
        <w:ind w:left="1138"/>
        <w:jc w:val="center"/>
      </w:pPr>
      <w:bookmarkStart w:id="20" w:name="_Toc280544964"/>
      <w:r>
        <w:t xml:space="preserve">Tabulka </w:t>
      </w:r>
      <w:r>
        <w:fldChar w:fldCharType="begin"/>
      </w:r>
      <w:r>
        <w:instrText xml:space="preserve"> SEQ Tabulka \* ARABIC </w:instrText>
      </w:r>
      <w:r>
        <w:fldChar w:fldCharType="separate"/>
      </w:r>
      <w:r>
        <w:rPr>
          <w:noProof/>
        </w:rPr>
        <w:t>4</w:t>
      </w:r>
      <w:r>
        <w:fldChar w:fldCharType="end"/>
      </w:r>
      <w:r>
        <w:t>: Celková struktura dokladu</w:t>
      </w:r>
      <w:bookmarkEnd w:id="20"/>
    </w:p>
    <w:p w:rsidR="0051727F" w:rsidRDefault="0051727F" w:rsidP="0051727F">
      <w:pPr>
        <w:spacing w:before="120"/>
        <w:ind w:left="1138"/>
        <w:rPr>
          <w:highlight w:val="white"/>
        </w:rPr>
      </w:pPr>
      <w:r>
        <w:rPr>
          <w:highlight w:val="white"/>
        </w:rPr>
        <w:t>Při sestavení zprávy platí následující principy:</w:t>
      </w:r>
    </w:p>
    <w:p w:rsidR="0051727F" w:rsidRDefault="0051727F" w:rsidP="0051727F">
      <w:pPr>
        <w:numPr>
          <w:ilvl w:val="0"/>
          <w:numId w:val="5"/>
        </w:numPr>
        <w:tabs>
          <w:tab w:val="clear" w:pos="720"/>
          <w:tab w:val="num" w:pos="1701"/>
        </w:tabs>
        <w:autoSpaceDE/>
        <w:autoSpaceDN/>
        <w:ind w:left="1701" w:hanging="283"/>
        <w:rPr>
          <w:highlight w:val="white"/>
        </w:rPr>
      </w:pPr>
      <w:r>
        <w:rPr>
          <w:highlight w:val="white"/>
        </w:rPr>
        <w:t xml:space="preserve">Hlavička dokladu a detail dokladu jsou v každém dokladu povinné. </w:t>
      </w:r>
    </w:p>
    <w:p w:rsidR="0051727F" w:rsidRDefault="0051727F" w:rsidP="0051727F">
      <w:pPr>
        <w:numPr>
          <w:ilvl w:val="0"/>
          <w:numId w:val="5"/>
        </w:numPr>
        <w:tabs>
          <w:tab w:val="clear" w:pos="720"/>
          <w:tab w:val="num" w:pos="1701"/>
        </w:tabs>
        <w:autoSpaceDE/>
        <w:autoSpaceDN/>
        <w:ind w:left="1701" w:hanging="283"/>
        <w:rPr>
          <w:highlight w:val="white"/>
        </w:rPr>
      </w:pPr>
      <w:r>
        <w:rPr>
          <w:highlight w:val="white"/>
        </w:rPr>
        <w:t xml:space="preserve">Shrnutí dokladu není specifikováno jako povinné, záleží na typu dokladu – např. u faktur musí být vyplněno, u předpisu záloh vyplněno být nemusí. </w:t>
      </w:r>
    </w:p>
    <w:p w:rsidR="0051727F" w:rsidRDefault="0051727F" w:rsidP="0051727F">
      <w:pPr>
        <w:pStyle w:val="Nadpis3"/>
        <w:ind w:left="0" w:firstLine="0"/>
        <w:rPr>
          <w:highlight w:val="white"/>
        </w:rPr>
      </w:pPr>
      <w:bookmarkStart w:id="21" w:name="_Toc250047866"/>
      <w:bookmarkStart w:id="22" w:name="_Toc280612930"/>
      <w:r>
        <w:rPr>
          <w:highlight w:val="white"/>
        </w:rPr>
        <w:t>Hlavička dokladu</w:t>
      </w:r>
      <w:bookmarkEnd w:id="21"/>
      <w:bookmarkEnd w:id="22"/>
    </w:p>
    <w:p w:rsidR="0051727F" w:rsidRDefault="0051727F" w:rsidP="0051727F">
      <w:pPr>
        <w:rPr>
          <w:highlight w:val="white"/>
        </w:rPr>
      </w:pPr>
      <w:r>
        <w:rPr>
          <w:highlight w:val="white"/>
        </w:rPr>
        <w:t>Hlavička dokladu obsahuje (může obsahovat) dále uvedené elementy</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5760"/>
      </w:tblGrid>
      <w:tr w:rsidR="0051727F" w:rsidTr="00870D66">
        <w:trPr>
          <w:trHeight w:val="288"/>
          <w:tblHeader/>
        </w:trPr>
        <w:tc>
          <w:tcPr>
            <w:tcW w:w="1620" w:type="dxa"/>
            <w:shd w:val="clear" w:color="auto" w:fill="C0C0C0"/>
            <w:vAlign w:val="center"/>
          </w:tcPr>
          <w:p w:rsidR="0051727F" w:rsidRDefault="0051727F" w:rsidP="00870D66">
            <w:pPr>
              <w:pStyle w:val="Texttabulky"/>
              <w:spacing w:before="0" w:after="0"/>
              <w:jc w:val="center"/>
              <w:rPr>
                <w:b/>
                <w:highlight w:val="white"/>
              </w:rPr>
            </w:pPr>
            <w:r>
              <w:rPr>
                <w:b/>
              </w:rPr>
              <w:t>Element</w:t>
            </w:r>
          </w:p>
        </w:tc>
        <w:tc>
          <w:tcPr>
            <w:tcW w:w="576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rPr>
          <w:trHeight w:val="288"/>
        </w:trPr>
        <w:tc>
          <w:tcPr>
            <w:tcW w:w="1620" w:type="dxa"/>
          </w:tcPr>
          <w:p w:rsidR="0051727F" w:rsidRDefault="0051727F" w:rsidP="00870D66">
            <w:pPr>
              <w:pStyle w:val="Texttabulky"/>
              <w:spacing w:before="0" w:after="0"/>
              <w:jc w:val="left"/>
              <w:rPr>
                <w:highlight w:val="white"/>
              </w:rPr>
            </w:pPr>
            <w:r>
              <w:rPr>
                <w:highlight w:val="white"/>
              </w:rPr>
              <w:t>Party</w:t>
            </w:r>
          </w:p>
        </w:tc>
        <w:tc>
          <w:tcPr>
            <w:tcW w:w="5760" w:type="dxa"/>
          </w:tcPr>
          <w:p w:rsidR="0051727F" w:rsidRDefault="0051727F" w:rsidP="00870D66">
            <w:pPr>
              <w:pStyle w:val="Texttabulky"/>
              <w:spacing w:before="0" w:after="0"/>
              <w:jc w:val="left"/>
              <w:rPr>
                <w:highlight w:val="white"/>
              </w:rPr>
            </w:pPr>
            <w:r>
              <w:rPr>
                <w:b/>
                <w:highlight w:val="white"/>
              </w:rPr>
              <w:t>Údaje o partnerech</w:t>
            </w:r>
            <w:r>
              <w:rPr>
                <w:highlight w:val="white"/>
              </w:rPr>
              <w:t xml:space="preserve"> – zejména se jedná o odběratele a dodavatele, případně může být uveden příjemce faktury (např. pokud by byl odlišný od odběratele). Pro odlišení je použit atribut Role partnera – </w:t>
            </w:r>
            <w:r>
              <w:rPr>
                <w:i/>
                <w:highlight w:val="white"/>
              </w:rPr>
              <w:t>party-role</w:t>
            </w:r>
            <w:r>
              <w:rPr>
                <w:highlight w:val="white"/>
              </w:rPr>
              <w:t>.</w:t>
            </w:r>
          </w:p>
          <w:p w:rsidR="0051727F" w:rsidRDefault="0051727F" w:rsidP="00870D66">
            <w:pPr>
              <w:pStyle w:val="Texttabulky"/>
              <w:spacing w:before="0" w:after="0"/>
              <w:jc w:val="left"/>
              <w:rPr>
                <w:highlight w:val="white"/>
              </w:rPr>
            </w:pPr>
            <w:r>
              <w:rPr>
                <w:highlight w:val="white"/>
              </w:rPr>
              <w:t>V elementu jsou obsazeny identifikační údaje partnera, bakovní konto, adresní údaje, apod. (viz popis elementu Party)</w:t>
            </w:r>
          </w:p>
          <w:p w:rsidR="0051727F" w:rsidRDefault="0051727F" w:rsidP="00870D66">
            <w:pPr>
              <w:pStyle w:val="Texttabulky"/>
              <w:spacing w:before="0" w:after="0"/>
              <w:jc w:val="left"/>
              <w:rPr>
                <w:highlight w:val="white"/>
              </w:rPr>
            </w:pPr>
          </w:p>
          <w:p w:rsidR="0051727F" w:rsidRDefault="0051727F" w:rsidP="00870D66">
            <w:pPr>
              <w:pStyle w:val="Texttabulky"/>
              <w:spacing w:before="0" w:after="0"/>
              <w:jc w:val="left"/>
              <w:rPr>
                <w:highlight w:val="white"/>
              </w:rPr>
            </w:pPr>
            <w:r>
              <w:rPr>
                <w:highlight w:val="white"/>
              </w:rPr>
              <w:t>Element DocHeader/Party bude nepovinný. Na aplikační úrovni bude implementována kontrola na vyplnění pouze v případě, kdy se jedná o daňový doklad (</w:t>
            </w:r>
            <w:r w:rsidRPr="0028310C">
              <w:t>Tax relevancy =“YTN“</w:t>
            </w:r>
            <w:r>
              <w:t>)</w:t>
            </w:r>
          </w:p>
        </w:tc>
      </w:tr>
      <w:tr w:rsidR="0051727F" w:rsidTr="00870D66">
        <w:trPr>
          <w:trHeight w:val="288"/>
        </w:trPr>
        <w:tc>
          <w:tcPr>
            <w:tcW w:w="1620" w:type="dxa"/>
          </w:tcPr>
          <w:p w:rsidR="0051727F" w:rsidRDefault="0051727F" w:rsidP="00870D66">
            <w:pPr>
              <w:pStyle w:val="Texttabulky"/>
              <w:spacing w:before="0" w:after="0"/>
              <w:jc w:val="left"/>
              <w:rPr>
                <w:highlight w:val="white"/>
              </w:rPr>
            </w:pPr>
            <w:r>
              <w:rPr>
                <w:highlight w:val="white"/>
              </w:rPr>
              <w:t>DocDates</w:t>
            </w:r>
          </w:p>
        </w:tc>
        <w:tc>
          <w:tcPr>
            <w:tcW w:w="5760" w:type="dxa"/>
          </w:tcPr>
          <w:p w:rsidR="0051727F" w:rsidRDefault="0051727F" w:rsidP="00870D66">
            <w:pPr>
              <w:pStyle w:val="Texttabulky"/>
              <w:spacing w:before="0" w:after="0"/>
              <w:jc w:val="left"/>
              <w:rPr>
                <w:b/>
                <w:highlight w:val="white"/>
              </w:rPr>
            </w:pPr>
            <w:r>
              <w:rPr>
                <w:b/>
                <w:highlight w:val="white"/>
              </w:rPr>
              <w:t>Data obsažená v dokladu:</w:t>
            </w:r>
          </w:p>
          <w:p w:rsidR="0051727F" w:rsidRDefault="0051727F" w:rsidP="00870D66">
            <w:pPr>
              <w:pStyle w:val="Texttabulky"/>
              <w:spacing w:before="0" w:after="0"/>
              <w:jc w:val="left"/>
              <w:rPr>
                <w:highlight w:val="white"/>
              </w:rPr>
            </w:pPr>
            <w:r>
              <w:rPr>
                <w:highlight w:val="white"/>
              </w:rPr>
              <w:t>Datum splatnosti (due-date)</w:t>
            </w:r>
          </w:p>
          <w:p w:rsidR="0051727F" w:rsidRDefault="0051727F" w:rsidP="00870D66">
            <w:pPr>
              <w:pStyle w:val="Texttabulky"/>
              <w:spacing w:before="0" w:after="0"/>
              <w:jc w:val="left"/>
              <w:rPr>
                <w:highlight w:val="white"/>
              </w:rPr>
            </w:pPr>
            <w:r>
              <w:rPr>
                <w:highlight w:val="white"/>
              </w:rPr>
              <w:t>Datum zdanitelného plnění (tax-point-date)</w:t>
            </w:r>
          </w:p>
          <w:p w:rsidR="0051727F" w:rsidRDefault="0051727F" w:rsidP="00870D66">
            <w:pPr>
              <w:pStyle w:val="Texttabulky"/>
              <w:spacing w:before="0" w:after="0"/>
              <w:jc w:val="left"/>
              <w:rPr>
                <w:highlight w:val="white"/>
              </w:rPr>
            </w:pPr>
            <w:r>
              <w:rPr>
                <w:highlight w:val="white"/>
              </w:rPr>
              <w:t>Datum vydání dokladu (doc-issue-date)</w:t>
            </w:r>
          </w:p>
          <w:p w:rsidR="0051727F" w:rsidRDefault="0051727F" w:rsidP="00870D66">
            <w:pPr>
              <w:pStyle w:val="Texttabulky"/>
              <w:spacing w:before="0" w:after="0"/>
              <w:jc w:val="left"/>
              <w:rPr>
                <w:highlight w:val="white"/>
              </w:rPr>
            </w:pPr>
            <w:r>
              <w:rPr>
                <w:highlight w:val="white"/>
              </w:rPr>
              <w:t>Položky due-date, tax-point-date, doc-issue-date budou nastaveny jako nepovinné, protože existuje různé použití podle druhu dokladu.</w:t>
            </w:r>
          </w:p>
          <w:p w:rsidR="0051727F" w:rsidRDefault="0051727F" w:rsidP="00870D66">
            <w:pPr>
              <w:pStyle w:val="Texttabulky"/>
              <w:spacing w:before="0" w:after="0"/>
              <w:jc w:val="left"/>
              <w:rPr>
                <w:highlight w:val="white"/>
              </w:rPr>
            </w:pPr>
          </w:p>
          <w:p w:rsidR="0051727F" w:rsidRDefault="0051727F" w:rsidP="00870D66">
            <w:pPr>
              <w:pStyle w:val="Texttabulky"/>
              <w:spacing w:before="0" w:after="0"/>
              <w:jc w:val="left"/>
              <w:rPr>
                <w:highlight w:val="white"/>
              </w:rPr>
            </w:pPr>
            <w:r>
              <w:rPr>
                <w:highlight w:val="white"/>
              </w:rPr>
              <w:t>Začátek fakturačního období (invoicing-period-start)</w:t>
            </w:r>
          </w:p>
          <w:p w:rsidR="0051727F" w:rsidRDefault="0051727F" w:rsidP="00870D66">
            <w:pPr>
              <w:pStyle w:val="Texttabulky"/>
              <w:spacing w:before="0" w:after="0"/>
              <w:jc w:val="left"/>
              <w:rPr>
                <w:highlight w:val="white"/>
              </w:rPr>
            </w:pPr>
            <w:r>
              <w:rPr>
                <w:highlight w:val="white"/>
              </w:rPr>
              <w:t>Konec fakturačního období (invoicing-period-end)</w:t>
            </w:r>
          </w:p>
          <w:p w:rsidR="0051727F" w:rsidRDefault="0051727F" w:rsidP="00870D66">
            <w:pPr>
              <w:pStyle w:val="Texttabulky"/>
              <w:spacing w:before="0" w:after="0"/>
              <w:jc w:val="left"/>
              <w:rPr>
                <w:highlight w:val="white"/>
              </w:rPr>
            </w:pPr>
            <w:r>
              <w:rPr>
                <w:highlight w:val="white"/>
              </w:rPr>
              <w:t>Pozn.:</w:t>
            </w:r>
          </w:p>
          <w:p w:rsidR="0051727F" w:rsidRDefault="0051727F" w:rsidP="00870D66">
            <w:pPr>
              <w:pStyle w:val="Texttabulky"/>
              <w:spacing w:before="0" w:after="0"/>
              <w:jc w:val="left"/>
              <w:rPr>
                <w:highlight w:val="white"/>
              </w:rPr>
            </w:pPr>
            <w:r>
              <w:rPr>
                <w:highlight w:val="white"/>
              </w:rPr>
              <w:lastRenderedPageBreak/>
              <w:t>Fakturační období nemusí bý</w:t>
            </w:r>
            <w:r>
              <w:rPr>
                <w:highlight w:val="white"/>
              </w:rPr>
              <w:cr/>
              <w:t xml:space="preserve"> uvedeno, pokud</w:t>
            </w:r>
            <w:r>
              <w:rPr>
                <w:highlight w:val="white"/>
              </w:rPr>
              <w:cr/>
              <w:t>je například uvedeno u bloků zúčtování OPM.</w:t>
            </w:r>
          </w:p>
        </w:tc>
      </w:tr>
      <w:tr w:rsidR="0051727F" w:rsidTr="00870D66">
        <w:trPr>
          <w:trHeight w:val="288"/>
        </w:trPr>
        <w:tc>
          <w:tcPr>
            <w:tcW w:w="1620" w:type="dxa"/>
          </w:tcPr>
          <w:p w:rsidR="0051727F" w:rsidRDefault="0051727F" w:rsidP="00870D66">
            <w:pPr>
              <w:pStyle w:val="Texttabulky"/>
              <w:spacing w:before="0" w:after="0"/>
              <w:jc w:val="left"/>
              <w:rPr>
                <w:highlight w:val="white"/>
              </w:rPr>
            </w:pPr>
            <w:r>
              <w:rPr>
                <w:highlight w:val="white"/>
              </w:rPr>
              <w:lastRenderedPageBreak/>
              <w:t>PaymentInf</w:t>
            </w:r>
          </w:p>
        </w:tc>
        <w:tc>
          <w:tcPr>
            <w:tcW w:w="5760" w:type="dxa"/>
          </w:tcPr>
          <w:p w:rsidR="0051727F" w:rsidRDefault="0051727F" w:rsidP="00870D66">
            <w:pPr>
              <w:pStyle w:val="Texttabulky"/>
              <w:spacing w:before="0" w:after="0"/>
              <w:jc w:val="left"/>
              <w:rPr>
                <w:highlight w:val="white"/>
              </w:rPr>
            </w:pPr>
            <w:r>
              <w:rPr>
                <w:b/>
                <w:highlight w:val="white"/>
              </w:rPr>
              <w:t>Údaje pro zpracování přijaté platby</w:t>
            </w:r>
            <w:r>
              <w:rPr>
                <w:highlight w:val="white"/>
              </w:rPr>
              <w:t xml:space="preserve"> – variabilní, konstantní, specifický symbol, způsob platby (převodním příkazem apod.)</w:t>
            </w:r>
          </w:p>
          <w:p w:rsidR="0051727F" w:rsidRDefault="0051727F" w:rsidP="00870D66">
            <w:pPr>
              <w:pStyle w:val="Texttabulky"/>
              <w:spacing w:before="0" w:after="0"/>
              <w:jc w:val="left"/>
              <w:rPr>
                <w:highlight w:val="white"/>
              </w:rPr>
            </w:pPr>
            <w:r>
              <w:rPr>
                <w:highlight w:val="white"/>
              </w:rPr>
              <w:t>Bude doplněn atribut pro způsob úhrady došlé platby a způsob úhrady odeslané platby.</w:t>
            </w:r>
          </w:p>
          <w:p w:rsidR="0051727F" w:rsidRDefault="0051727F" w:rsidP="00870D66">
            <w:pPr>
              <w:pStyle w:val="Texttabulky"/>
            </w:pPr>
            <w:r>
              <w:t>způsob úhrady došlé platby (nedoplatek)</w:t>
            </w:r>
          </w:p>
          <w:p w:rsidR="0051727F" w:rsidRDefault="0051727F" w:rsidP="00870D66">
            <w:pPr>
              <w:pStyle w:val="Texttabulky"/>
            </w:pPr>
            <w:r>
              <w:t>kód</w:t>
            </w:r>
            <w:r>
              <w:tab/>
              <w:t>název</w:t>
            </w:r>
            <w:r>
              <w:tab/>
              <w:t>poznámka</w:t>
            </w:r>
          </w:p>
          <w:p w:rsidR="0051727F" w:rsidRDefault="0051727F" w:rsidP="00870D66">
            <w:pPr>
              <w:pStyle w:val="Texttabulky"/>
            </w:pPr>
            <w:r>
              <w:t>P</w:t>
            </w:r>
            <w:r>
              <w:tab/>
              <w:t>SIPO</w:t>
            </w:r>
            <w:r>
              <w:tab/>
            </w:r>
          </w:p>
          <w:p w:rsidR="0051727F" w:rsidRDefault="0051727F" w:rsidP="00870D66">
            <w:pPr>
              <w:pStyle w:val="Texttabulky"/>
            </w:pPr>
            <w:r>
              <w:t>N</w:t>
            </w:r>
            <w:r>
              <w:tab/>
              <w:t>Přímé inkaso</w:t>
            </w:r>
            <w:r>
              <w:tab/>
              <w:t xml:space="preserve"> </w:t>
            </w:r>
          </w:p>
          <w:p w:rsidR="0051727F" w:rsidRDefault="0051727F" w:rsidP="00870D66">
            <w:pPr>
              <w:pStyle w:val="Texttabulky"/>
            </w:pPr>
            <w:r>
              <w:t>H</w:t>
            </w:r>
            <w:r>
              <w:tab/>
              <w:t>Neurčeno</w:t>
            </w:r>
            <w:r>
              <w:tab/>
              <w:t xml:space="preserve"> </w:t>
            </w:r>
          </w:p>
          <w:p w:rsidR="0051727F" w:rsidRDefault="0051727F" w:rsidP="00870D66">
            <w:pPr>
              <w:pStyle w:val="Texttabulky"/>
            </w:pPr>
            <w:r>
              <w:t>B</w:t>
            </w:r>
            <w:r>
              <w:tab/>
              <w:t>Bankovní převod</w:t>
            </w:r>
            <w:r>
              <w:tab/>
              <w:t xml:space="preserve"> </w:t>
            </w:r>
          </w:p>
          <w:p w:rsidR="0051727F" w:rsidRDefault="0051727F" w:rsidP="00870D66">
            <w:pPr>
              <w:pStyle w:val="Texttabulky"/>
            </w:pPr>
            <w:r>
              <w:t>A</w:t>
            </w:r>
            <w:r>
              <w:tab/>
              <w:t>Složenka 'A'</w:t>
            </w:r>
            <w:r>
              <w:tab/>
            </w:r>
          </w:p>
          <w:p w:rsidR="0051727F" w:rsidRDefault="0051727F" w:rsidP="00870D66">
            <w:pPr>
              <w:pStyle w:val="Texttabulky"/>
            </w:pPr>
            <w:r>
              <w:tab/>
            </w:r>
            <w:r>
              <w:tab/>
            </w:r>
          </w:p>
          <w:p w:rsidR="0051727F" w:rsidRDefault="0051727F" w:rsidP="00870D66">
            <w:pPr>
              <w:pStyle w:val="Texttabulky"/>
            </w:pPr>
            <w:r>
              <w:t>způsob úhrady odeslané platby (přeplatek)</w:t>
            </w:r>
          </w:p>
          <w:p w:rsidR="0051727F" w:rsidRDefault="0051727F" w:rsidP="00870D66">
            <w:pPr>
              <w:pStyle w:val="Texttabulky"/>
            </w:pPr>
            <w:r>
              <w:t>kód</w:t>
            </w:r>
            <w:r>
              <w:tab/>
              <w:t>název</w:t>
            </w:r>
            <w:r>
              <w:tab/>
              <w:t>poznámka</w:t>
            </w:r>
          </w:p>
          <w:p w:rsidR="0051727F" w:rsidRDefault="0051727F" w:rsidP="00870D66">
            <w:pPr>
              <w:pStyle w:val="Texttabulky"/>
            </w:pPr>
            <w:r>
              <w:t>U</w:t>
            </w:r>
            <w:r>
              <w:tab/>
              <w:t>bankovní převod</w:t>
            </w:r>
            <w:r>
              <w:tab/>
              <w:t xml:space="preserve"> </w:t>
            </w:r>
          </w:p>
          <w:p w:rsidR="0051727F" w:rsidRDefault="0051727F" w:rsidP="00870D66">
            <w:pPr>
              <w:pStyle w:val="Texttabulky"/>
              <w:spacing w:before="0" w:after="0"/>
              <w:jc w:val="left"/>
              <w:rPr>
                <w:highlight w:val="white"/>
              </w:rPr>
            </w:pPr>
            <w:r>
              <w:t>S</w:t>
            </w:r>
            <w:r>
              <w:tab/>
              <w:t>Složenka 'B'</w:t>
            </w:r>
            <w:r>
              <w:tab/>
            </w:r>
          </w:p>
        </w:tc>
      </w:tr>
      <w:tr w:rsidR="0051727F" w:rsidTr="00870D66">
        <w:trPr>
          <w:trHeight w:val="288"/>
        </w:trPr>
        <w:tc>
          <w:tcPr>
            <w:tcW w:w="1620" w:type="dxa"/>
          </w:tcPr>
          <w:p w:rsidR="0051727F" w:rsidRDefault="0051727F" w:rsidP="00870D66">
            <w:pPr>
              <w:pStyle w:val="Texttabulky"/>
              <w:spacing w:before="0" w:after="0"/>
              <w:jc w:val="left"/>
              <w:rPr>
                <w:highlight w:val="white"/>
              </w:rPr>
            </w:pPr>
            <w:r>
              <w:rPr>
                <w:highlight w:val="white"/>
              </w:rPr>
              <w:t>RefDocume</w:t>
            </w:r>
            <w:r>
              <w:rPr>
                <w:highlight w:val="white"/>
              </w:rPr>
              <w:cr/>
              <w:t>t</w:t>
            </w:r>
          </w:p>
        </w:tc>
        <w:tc>
          <w:tcPr>
            <w:tcW w:w="5760" w:type="dxa"/>
          </w:tcPr>
          <w:p w:rsidR="0051727F" w:rsidRDefault="0051727F" w:rsidP="00870D66">
            <w:pPr>
              <w:pStyle w:val="Texttabulky"/>
              <w:spacing w:before="0" w:after="0"/>
              <w:jc w:val="left"/>
              <w:rPr>
                <w:b/>
                <w:highlight w:val="white"/>
              </w:rPr>
            </w:pPr>
            <w:r>
              <w:rPr>
                <w:b/>
                <w:highlight w:val="white"/>
              </w:rPr>
              <w:t>Odkaz na související dokument:</w:t>
            </w:r>
          </w:p>
          <w:p w:rsidR="0051727F" w:rsidRDefault="0051727F" w:rsidP="00870D66">
            <w:pPr>
              <w:pStyle w:val="Texttabulky"/>
              <w:spacing w:before="0" w:after="0"/>
              <w:jc w:val="left"/>
              <w:rPr>
                <w:highlight w:val="white"/>
              </w:rPr>
            </w:pPr>
            <w:r>
              <w:rPr>
                <w:highlight w:val="white"/>
              </w:rPr>
              <w:t>Faktura – např. při storno faktuře, opravném dokladu</w:t>
            </w:r>
          </w:p>
          <w:p w:rsidR="0051727F" w:rsidRDefault="0051727F" w:rsidP="00870D66">
            <w:pPr>
              <w:pStyle w:val="Texttabulky"/>
              <w:spacing w:before="0" w:after="0"/>
              <w:jc w:val="left"/>
              <w:rPr>
                <w:highlight w:val="white"/>
              </w:rPr>
            </w:pPr>
            <w:r>
              <w:rPr>
                <w:highlight w:val="white"/>
              </w:rPr>
              <w:t>Order – objednávka</w:t>
            </w:r>
          </w:p>
          <w:p w:rsidR="0051727F" w:rsidRDefault="0051727F" w:rsidP="00870D66">
            <w:pPr>
              <w:pStyle w:val="Texttabulky"/>
              <w:spacing w:before="0" w:after="0"/>
              <w:jc w:val="left"/>
              <w:rPr>
                <w:highlight w:val="white"/>
              </w:rPr>
            </w:pPr>
            <w:r>
              <w:rPr>
                <w:highlight w:val="white"/>
              </w:rPr>
              <w:t>Contract – číslo smlouvy</w:t>
            </w:r>
          </w:p>
          <w:p w:rsidR="0051727F" w:rsidRDefault="0051727F" w:rsidP="00870D66">
            <w:pPr>
              <w:pStyle w:val="Texttabulky"/>
              <w:spacing w:before="0" w:after="0"/>
              <w:jc w:val="left"/>
              <w:rPr>
                <w:highlight w:val="white"/>
              </w:rPr>
            </w:pPr>
            <w:r>
              <w:rPr>
                <w:highlight w:val="white"/>
              </w:rPr>
              <w:t>Je možné uvést i odkaz na číslo položky v rámci odkazovaného dokladu.</w:t>
            </w:r>
          </w:p>
          <w:p w:rsidR="0051727F" w:rsidRDefault="0051727F" w:rsidP="00870D66">
            <w:pPr>
              <w:pStyle w:val="Texttabulky"/>
              <w:spacing w:before="0" w:after="0"/>
              <w:jc w:val="left"/>
              <w:rPr>
                <w:highlight w:val="white"/>
              </w:rPr>
            </w:pPr>
            <w:r>
              <w:rPr>
                <w:highlight w:val="white"/>
              </w:rPr>
              <w:t>Je možné uvést i odkazy na více dokladů.</w:t>
            </w:r>
          </w:p>
          <w:p w:rsidR="0051727F" w:rsidRDefault="0051727F" w:rsidP="00870D66">
            <w:pPr>
              <w:pStyle w:val="Texttabulky"/>
              <w:spacing w:before="0" w:after="0"/>
              <w:jc w:val="left"/>
              <w:rPr>
                <w:highlight w:val="white"/>
              </w:rPr>
            </w:pPr>
          </w:p>
          <w:p w:rsidR="0051727F" w:rsidRDefault="0051727F" w:rsidP="00870D66">
            <w:pPr>
              <w:pStyle w:val="Texttabulky"/>
              <w:spacing w:before="0" w:after="0"/>
              <w:jc w:val="left"/>
              <w:rPr>
                <w:highlight w:val="white"/>
              </w:rPr>
            </w:pPr>
            <w:r>
              <w:rPr>
                <w:highlight w:val="white"/>
              </w:rPr>
              <w:t xml:space="preserve">Bude obsahovat nepovinný atribut </w:t>
            </w:r>
            <w:r>
              <w:t>„</w:t>
            </w:r>
            <w:r w:rsidRPr="00B11913">
              <w:t>doc-issue-date</w:t>
            </w:r>
            <w:r>
              <w:t>“ – datum vydání dokladu.</w:t>
            </w:r>
          </w:p>
        </w:tc>
      </w:tr>
      <w:tr w:rsidR="0051727F" w:rsidTr="00870D66">
        <w:trPr>
          <w:trHeight w:val="288"/>
        </w:trPr>
        <w:tc>
          <w:tcPr>
            <w:tcW w:w="1620" w:type="dxa"/>
          </w:tcPr>
          <w:p w:rsidR="0051727F" w:rsidRDefault="0051727F" w:rsidP="00870D66">
            <w:pPr>
              <w:pStyle w:val="Texttabulky"/>
              <w:spacing w:before="0" w:after="0"/>
              <w:jc w:val="left"/>
              <w:rPr>
                <w:highlight w:val="white"/>
              </w:rPr>
            </w:pPr>
            <w:r>
              <w:rPr>
                <w:highlight w:val="white"/>
              </w:rPr>
              <w:t>DocHeaderNote</w:t>
            </w:r>
          </w:p>
        </w:tc>
        <w:tc>
          <w:tcPr>
            <w:tcW w:w="5760" w:type="dxa"/>
          </w:tcPr>
          <w:p w:rsidR="0051727F" w:rsidRDefault="0051727F" w:rsidP="00870D66">
            <w:pPr>
              <w:pStyle w:val="Texttabulky"/>
              <w:spacing w:before="0" w:after="0"/>
              <w:jc w:val="left"/>
              <w:rPr>
                <w:highlight w:val="white"/>
              </w:rPr>
            </w:pPr>
            <w:r>
              <w:rPr>
                <w:b/>
                <w:highlight w:val="white"/>
              </w:rPr>
              <w:t>Poznámka</w:t>
            </w:r>
            <w:r>
              <w:rPr>
                <w:highlight w:val="white"/>
              </w:rPr>
              <w:t xml:space="preserve"> – volný text – na úrovni hlavičky dokladu</w:t>
            </w:r>
          </w:p>
        </w:tc>
      </w:tr>
    </w:tbl>
    <w:p w:rsidR="0051727F" w:rsidRDefault="0051727F" w:rsidP="0051727F">
      <w:pPr>
        <w:pStyle w:val="Titulek"/>
        <w:spacing w:after="240"/>
        <w:ind w:left="1138"/>
        <w:jc w:val="center"/>
      </w:pPr>
      <w:bookmarkStart w:id="23" w:name="_Toc250047867"/>
      <w:bookmarkStart w:id="24" w:name="_Toc280544965"/>
      <w:r>
        <w:t xml:space="preserve">Tabulka </w:t>
      </w:r>
      <w:r>
        <w:fldChar w:fldCharType="begin"/>
      </w:r>
      <w:r>
        <w:instrText xml:space="preserve"> SEQ Tabulka \* ARABIC </w:instrText>
      </w:r>
      <w:r>
        <w:fldChar w:fldCharType="separate"/>
      </w:r>
      <w:r>
        <w:rPr>
          <w:noProof/>
        </w:rPr>
        <w:t>5</w:t>
      </w:r>
      <w:r>
        <w:fldChar w:fldCharType="end"/>
      </w:r>
      <w:r>
        <w:t>: Hlavička dokladu</w:t>
      </w:r>
      <w:bookmarkEnd w:id="24"/>
    </w:p>
    <w:p w:rsidR="0051727F" w:rsidRDefault="0051727F" w:rsidP="0051727F">
      <w:pPr>
        <w:pStyle w:val="Nadpis3"/>
        <w:numPr>
          <w:ilvl w:val="0"/>
          <w:numId w:val="0"/>
        </w:numPr>
        <w:rPr>
          <w:highlight w:val="white"/>
        </w:rPr>
      </w:pPr>
    </w:p>
    <w:p w:rsidR="0051727F" w:rsidRDefault="0051727F" w:rsidP="0051727F">
      <w:pPr>
        <w:pStyle w:val="Nadpis3"/>
        <w:ind w:left="0" w:firstLine="0"/>
        <w:rPr>
          <w:highlight w:val="white"/>
        </w:rPr>
      </w:pPr>
      <w:bookmarkStart w:id="25" w:name="_Toc280612931"/>
      <w:r>
        <w:rPr>
          <w:highlight w:val="white"/>
        </w:rPr>
        <w:t>Detail dokladu</w:t>
      </w:r>
      <w:bookmarkEnd w:id="23"/>
      <w:bookmarkEnd w:id="25"/>
    </w:p>
    <w:p w:rsidR="0051727F" w:rsidRDefault="0051727F" w:rsidP="0051727F">
      <w:pPr>
        <w:rPr>
          <w:highlight w:val="white"/>
        </w:rPr>
      </w:pPr>
      <w:r>
        <w:rPr>
          <w:highlight w:val="white"/>
        </w:rPr>
        <w:t>V detailu dokladu jsou uvedeny položky dokladu – např. fakturované položky, předpisy záloh. V případě, že se položky vztahují k zúčtování OPM, jsou položky uvedeny v bloku OPM.</w:t>
      </w:r>
    </w:p>
    <w:p w:rsidR="0051727F" w:rsidRDefault="0051727F" w:rsidP="0051727F">
      <w:pPr>
        <w:rPr>
          <w:highlight w:val="white"/>
        </w:rPr>
      </w:pPr>
      <w:r>
        <w:rPr>
          <w:highlight w:val="white"/>
        </w:rPr>
        <w:t>Detail obsahuje následující elementy:</w:t>
      </w:r>
    </w:p>
    <w:p w:rsidR="0051727F" w:rsidRDefault="0051727F" w:rsidP="0051727F">
      <w:pPr>
        <w:rPr>
          <w:highlight w:val="white"/>
        </w:rPr>
      </w:pP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5708"/>
      </w:tblGrid>
      <w:tr w:rsidR="0051727F" w:rsidTr="00870D66">
        <w:trPr>
          <w:trHeight w:val="288"/>
          <w:tblHeader/>
        </w:trPr>
        <w:tc>
          <w:tcPr>
            <w:tcW w:w="1672" w:type="dxa"/>
            <w:shd w:val="clear" w:color="auto" w:fill="C0C0C0"/>
            <w:vAlign w:val="center"/>
          </w:tcPr>
          <w:p w:rsidR="0051727F" w:rsidRDefault="0051727F" w:rsidP="00870D66">
            <w:pPr>
              <w:pStyle w:val="Texttabulky"/>
              <w:keepNext/>
              <w:spacing w:before="0" w:after="0"/>
              <w:jc w:val="center"/>
              <w:rPr>
                <w:b/>
                <w:highlight w:val="white"/>
              </w:rPr>
            </w:pPr>
            <w:r>
              <w:rPr>
                <w:b/>
              </w:rPr>
              <w:t>Element</w:t>
            </w:r>
          </w:p>
        </w:tc>
        <w:tc>
          <w:tcPr>
            <w:tcW w:w="5708" w:type="dxa"/>
            <w:shd w:val="clear" w:color="auto" w:fill="C0C0C0"/>
            <w:vAlign w:val="center"/>
          </w:tcPr>
          <w:p w:rsidR="0051727F" w:rsidRDefault="0051727F" w:rsidP="00870D66">
            <w:pPr>
              <w:pStyle w:val="Texttabulky"/>
              <w:keepNext/>
              <w:spacing w:before="0" w:after="0"/>
              <w:jc w:val="center"/>
              <w:rPr>
                <w:b/>
                <w:highlight w:val="white"/>
              </w:rPr>
            </w:pPr>
            <w:r>
              <w:rPr>
                <w:b/>
              </w:rPr>
              <w:t>Popis</w:t>
            </w:r>
          </w:p>
        </w:tc>
      </w:tr>
      <w:tr w:rsidR="0051727F" w:rsidTr="00870D66">
        <w:tc>
          <w:tcPr>
            <w:tcW w:w="1672" w:type="dxa"/>
          </w:tcPr>
          <w:p w:rsidR="0051727F" w:rsidRDefault="0051727F" w:rsidP="00870D66">
            <w:pPr>
              <w:pStyle w:val="Texttabulky"/>
              <w:spacing w:before="0" w:after="0"/>
              <w:rPr>
                <w:highlight w:val="white"/>
              </w:rPr>
            </w:pPr>
            <w:r>
              <w:rPr>
                <w:highlight w:val="white"/>
              </w:rPr>
              <w:t>ListOfItems</w:t>
            </w:r>
          </w:p>
        </w:tc>
        <w:tc>
          <w:tcPr>
            <w:tcW w:w="5708" w:type="dxa"/>
          </w:tcPr>
          <w:p w:rsidR="0051727F" w:rsidRDefault="0051727F" w:rsidP="00870D66">
            <w:pPr>
              <w:pStyle w:val="Texttabulky"/>
              <w:spacing w:before="0" w:after="0"/>
              <w:rPr>
                <w:highlight w:val="white"/>
              </w:rPr>
            </w:pPr>
            <w:r>
              <w:rPr>
                <w:b/>
                <w:highlight w:val="white"/>
              </w:rPr>
              <w:t>Seznam položek</w:t>
            </w:r>
            <w:r>
              <w:rPr>
                <w:highlight w:val="white"/>
              </w:rPr>
              <w:t xml:space="preserve"> – V tomto seznamu jsou uvedeny položky, které se přímo nevztahují k datům OPM. </w:t>
            </w:r>
          </w:p>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V případě faktury to mohou být:</w:t>
            </w:r>
          </w:p>
          <w:p w:rsidR="0051727F" w:rsidRDefault="0051727F" w:rsidP="00870D66">
            <w:pPr>
              <w:pStyle w:val="Texttabulky"/>
              <w:spacing w:before="0" w:after="0"/>
              <w:rPr>
                <w:highlight w:val="white"/>
              </w:rPr>
            </w:pPr>
            <w:r>
              <w:rPr>
                <w:highlight w:val="white"/>
              </w:rPr>
              <w:t>Položky k fakturaci, které vznikly z více OPM</w:t>
            </w:r>
          </w:p>
          <w:p w:rsidR="0051727F" w:rsidRDefault="0051727F" w:rsidP="00870D66">
            <w:pPr>
              <w:pStyle w:val="Texttabulky"/>
              <w:spacing w:before="0" w:after="0"/>
              <w:rPr>
                <w:highlight w:val="white"/>
              </w:rPr>
            </w:pPr>
            <w:r>
              <w:rPr>
                <w:highlight w:val="white"/>
              </w:rPr>
              <w:t xml:space="preserve">Položky za služby netýkající se konkrétního OPM </w:t>
            </w:r>
          </w:p>
          <w:p w:rsidR="0051727F" w:rsidRDefault="0051727F" w:rsidP="00870D66">
            <w:pPr>
              <w:pStyle w:val="Texttabulky"/>
              <w:spacing w:before="0" w:after="0"/>
              <w:rPr>
                <w:highlight w:val="white"/>
              </w:rPr>
            </w:pPr>
            <w:r>
              <w:rPr>
                <w:highlight w:val="white"/>
              </w:rPr>
              <w:t>Tento blok nemusí být použit, pokud jsou všechny položky uvedeny u odběrného místa – například u individuální faktury za jedno OPM.</w:t>
            </w:r>
          </w:p>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V případě předpisu záloh – pokud je platný pro celý doklad (např. u agregované faktury, kde je více OPM a jeden celkový předpis záloh) - to jsou jednotlivé položky předpisu záloh (datum splatnosti, částka, období …)</w:t>
            </w:r>
          </w:p>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Je možné použít následující druhy seznamu položek (</w:t>
            </w:r>
            <w:r>
              <w:rPr>
                <w:i/>
                <w:highlight w:val="white"/>
              </w:rPr>
              <w:t>items-category</w:t>
            </w:r>
            <w:r>
              <w:rPr>
                <w:highlight w:val="whit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7"/>
              <w:gridCol w:w="4306"/>
            </w:tblGrid>
            <w:tr w:rsidR="0051727F" w:rsidTr="00870D66">
              <w:tc>
                <w:tcPr>
                  <w:tcW w:w="1507" w:type="dxa"/>
                </w:tcPr>
                <w:p w:rsidR="0051727F" w:rsidRDefault="0051727F" w:rsidP="00870D66">
                  <w:pPr>
                    <w:pStyle w:val="Texttabulky"/>
                    <w:spacing w:before="0" w:after="0"/>
                    <w:rPr>
                      <w:highlight w:val="white"/>
                    </w:rPr>
                  </w:pPr>
                  <w:r>
                    <w:rPr>
                      <w:highlight w:val="white"/>
                    </w:rPr>
                    <w:t>Druh</w:t>
                  </w:r>
                </w:p>
              </w:tc>
              <w:tc>
                <w:tcPr>
                  <w:tcW w:w="4306" w:type="dxa"/>
                </w:tcPr>
                <w:p w:rsidR="0051727F" w:rsidRDefault="0051727F" w:rsidP="00870D66">
                  <w:pPr>
                    <w:pStyle w:val="Texttabulky"/>
                    <w:spacing w:before="0" w:after="0"/>
                    <w:rPr>
                      <w:highlight w:val="white"/>
                    </w:rPr>
                  </w:pPr>
                  <w:r>
                    <w:rPr>
                      <w:highlight w:val="white"/>
                    </w:rPr>
                    <w:t>Popis</w:t>
                  </w:r>
                </w:p>
              </w:tc>
            </w:tr>
            <w:tr w:rsidR="0051727F" w:rsidTr="00870D66">
              <w:tc>
                <w:tcPr>
                  <w:tcW w:w="1507" w:type="dxa"/>
                </w:tcPr>
                <w:p w:rsidR="0051727F" w:rsidRDefault="0051727F" w:rsidP="00870D66">
                  <w:pPr>
                    <w:pStyle w:val="Texttabulky"/>
                    <w:spacing w:before="0" w:after="0"/>
                    <w:rPr>
                      <w:highlight w:val="white"/>
                    </w:rPr>
                  </w:pPr>
                  <w:r>
                    <w:rPr>
                      <w:highlight w:val="white"/>
                    </w:rPr>
                    <w:t>INV</w:t>
                  </w:r>
                </w:p>
              </w:tc>
              <w:tc>
                <w:tcPr>
                  <w:tcW w:w="4306" w:type="dxa"/>
                </w:tcPr>
                <w:p w:rsidR="0051727F" w:rsidRDefault="0051727F" w:rsidP="00870D66">
                  <w:pPr>
                    <w:pStyle w:val="Texttabulky"/>
                    <w:spacing w:before="0" w:after="0"/>
                    <w:rPr>
                      <w:highlight w:val="white"/>
                    </w:rPr>
                  </w:pPr>
                  <w:r>
                    <w:rPr>
                      <w:highlight w:val="white"/>
                    </w:rPr>
                    <w:t>Položky faktury</w:t>
                  </w:r>
                </w:p>
              </w:tc>
            </w:tr>
            <w:tr w:rsidR="0051727F" w:rsidTr="00870D66">
              <w:tc>
                <w:tcPr>
                  <w:tcW w:w="1507" w:type="dxa"/>
                </w:tcPr>
                <w:p w:rsidR="0051727F" w:rsidRDefault="0051727F" w:rsidP="00870D66">
                  <w:pPr>
                    <w:pStyle w:val="Texttabulky"/>
                    <w:spacing w:before="0" w:after="0"/>
                    <w:rPr>
                      <w:highlight w:val="white"/>
                    </w:rPr>
                  </w:pPr>
                  <w:r>
                    <w:rPr>
                      <w:highlight w:val="white"/>
                    </w:rPr>
                    <w:t>BBP</w:t>
                  </w:r>
                </w:p>
              </w:tc>
              <w:tc>
                <w:tcPr>
                  <w:tcW w:w="4306" w:type="dxa"/>
                </w:tcPr>
                <w:p w:rsidR="0051727F" w:rsidRDefault="0051727F" w:rsidP="00870D66">
                  <w:pPr>
                    <w:pStyle w:val="Texttabulky"/>
                    <w:spacing w:before="0" w:after="0"/>
                    <w:rPr>
                      <w:highlight w:val="white"/>
                    </w:rPr>
                  </w:pPr>
                  <w:r>
                    <w:rPr>
                      <w:highlight w:val="white"/>
                    </w:rPr>
                    <w:t>Předpis záloh</w:t>
                  </w:r>
                </w:p>
              </w:tc>
            </w:tr>
            <w:tr w:rsidR="0051727F" w:rsidTr="00870D66">
              <w:tc>
                <w:tcPr>
                  <w:tcW w:w="1507" w:type="dxa"/>
                </w:tcPr>
                <w:p w:rsidR="0051727F" w:rsidRDefault="0051727F" w:rsidP="00870D66">
                  <w:pPr>
                    <w:pStyle w:val="Texttabulky"/>
                    <w:spacing w:before="0" w:after="0"/>
                    <w:rPr>
                      <w:highlight w:val="white"/>
                    </w:rPr>
                  </w:pPr>
                  <w:r>
                    <w:rPr>
                      <w:highlight w:val="white"/>
                    </w:rPr>
                    <w:t>BBA</w:t>
                  </w:r>
                </w:p>
              </w:tc>
              <w:tc>
                <w:tcPr>
                  <w:tcW w:w="4306" w:type="dxa"/>
                </w:tcPr>
                <w:p w:rsidR="0051727F" w:rsidRDefault="0051727F" w:rsidP="00870D66">
                  <w:pPr>
                    <w:pStyle w:val="Texttabulky"/>
                    <w:spacing w:before="0" w:after="0"/>
                    <w:rPr>
                      <w:highlight w:val="white"/>
                    </w:rPr>
                  </w:pPr>
                  <w:r>
                    <w:rPr>
                      <w:highlight w:val="white"/>
                    </w:rPr>
                    <w:t>Zúčtova</w:t>
                  </w:r>
                  <w:r>
                    <w:rPr>
                      <w:highlight w:val="white"/>
                    </w:rPr>
                    <w:cr/>
                    <w:t>é zálohy</w:t>
                  </w:r>
                </w:p>
              </w:tc>
            </w:tr>
            <w:tr w:rsidR="0051727F" w:rsidTr="00870D66">
              <w:tc>
                <w:tcPr>
                  <w:tcW w:w="1507" w:type="dxa"/>
                </w:tcPr>
                <w:p w:rsidR="0051727F" w:rsidRDefault="0051727F" w:rsidP="00870D66">
                  <w:pPr>
                    <w:pStyle w:val="Texttabulky"/>
                    <w:spacing w:before="0" w:after="0"/>
                    <w:rPr>
                      <w:highlight w:val="white"/>
                    </w:rPr>
                  </w:pPr>
                  <w:r>
                    <w:rPr>
                      <w:highlight w:val="white"/>
                    </w:rPr>
                    <w:t>BBT</w:t>
                  </w:r>
                </w:p>
              </w:tc>
              <w:tc>
                <w:tcPr>
                  <w:tcW w:w="4306" w:type="dxa"/>
                </w:tcPr>
                <w:p w:rsidR="0051727F" w:rsidRDefault="0051727F" w:rsidP="00870D66">
                  <w:pPr>
                    <w:pStyle w:val="Texttabulky"/>
                    <w:spacing w:before="0" w:after="0"/>
                    <w:rPr>
                      <w:highlight w:val="white"/>
                    </w:rPr>
                  </w:pPr>
                  <w:r>
                    <w:rPr>
                      <w:highlight w:val="white"/>
                    </w:rPr>
                    <w:t xml:space="preserve">Položka daňového dokladu přijaté platby </w:t>
                  </w:r>
                </w:p>
              </w:tc>
            </w:tr>
          </w:tbl>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Seznam položek může obsahovat (mezi-)součet částek.</w:t>
            </w:r>
          </w:p>
        </w:tc>
      </w:tr>
      <w:tr w:rsidR="0051727F" w:rsidTr="00870D66">
        <w:tc>
          <w:tcPr>
            <w:tcW w:w="1672" w:type="dxa"/>
          </w:tcPr>
          <w:p w:rsidR="0051727F" w:rsidRDefault="0051727F" w:rsidP="00870D66">
            <w:pPr>
              <w:pStyle w:val="Texttabulky"/>
              <w:spacing w:before="0" w:after="0"/>
              <w:rPr>
                <w:highlight w:val="white"/>
              </w:rPr>
            </w:pPr>
            <w:r>
              <w:rPr>
                <w:highlight w:val="white"/>
              </w:rPr>
              <w:lastRenderedPageBreak/>
              <w:t>ListOfPDTBlocks</w:t>
            </w:r>
          </w:p>
        </w:tc>
        <w:tc>
          <w:tcPr>
            <w:tcW w:w="5708" w:type="dxa"/>
          </w:tcPr>
          <w:p w:rsidR="0051727F" w:rsidRDefault="0051727F" w:rsidP="00870D66">
            <w:pPr>
              <w:pStyle w:val="Texttabulky"/>
              <w:spacing w:before="0" w:after="0"/>
              <w:rPr>
                <w:highlight w:val="white"/>
              </w:rPr>
            </w:pPr>
            <w:r>
              <w:rPr>
                <w:b/>
                <w:highlight w:val="white"/>
              </w:rPr>
              <w:t xml:space="preserve">Seznam bloků OPM </w:t>
            </w:r>
            <w:r>
              <w:rPr>
                <w:highlight w:val="white"/>
              </w:rPr>
              <w:t>– V tomto seznamu jsou specifikovány údaje / položky vztahující se k OPM, k zúčtování OPM, k zálohám vztaženým k OPM.</w:t>
            </w:r>
          </w:p>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Blok (element PDTblock) obsahuje:</w:t>
            </w:r>
          </w:p>
          <w:p w:rsidR="0051727F" w:rsidRDefault="0051727F" w:rsidP="00870D66">
            <w:pPr>
              <w:pStyle w:val="Texttabulky"/>
              <w:spacing w:before="0" w:after="0"/>
              <w:rPr>
                <w:highlight w:val="white"/>
              </w:rPr>
            </w:pPr>
            <w:r>
              <w:rPr>
                <w:highlight w:val="white"/>
              </w:rPr>
              <w:t>Identifikaci OPM – v atributech elementu PDTBlock</w:t>
            </w:r>
          </w:p>
          <w:p w:rsidR="0051727F" w:rsidRDefault="0051727F" w:rsidP="00870D66">
            <w:pPr>
              <w:pStyle w:val="Texttabulky"/>
              <w:spacing w:before="0" w:after="0"/>
              <w:rPr>
                <w:highlight w:val="white"/>
              </w:rPr>
            </w:pPr>
            <w:r>
              <w:rPr>
                <w:highlight w:val="white"/>
              </w:rPr>
              <w:t>Adresní údaje – element Address</w:t>
            </w:r>
          </w:p>
          <w:p w:rsidR="0051727F" w:rsidRDefault="0051727F" w:rsidP="00870D66">
            <w:pPr>
              <w:pStyle w:val="Texttabulky"/>
              <w:spacing w:before="0" w:after="0"/>
              <w:rPr>
                <w:highlight w:val="white"/>
              </w:rPr>
            </w:pPr>
            <w:r>
              <w:rPr>
                <w:highlight w:val="white"/>
              </w:rPr>
              <w:t>Seznam položek zúčtování OPM – element ListOfBillingItems</w:t>
            </w:r>
          </w:p>
          <w:p w:rsidR="0051727F" w:rsidRDefault="0051727F" w:rsidP="00870D66">
            <w:pPr>
              <w:pStyle w:val="Texttabulky"/>
              <w:spacing w:before="0" w:after="0"/>
              <w:rPr>
                <w:highlight w:val="white"/>
              </w:rPr>
            </w:pPr>
            <w:r>
              <w:rPr>
                <w:highlight w:val="white"/>
              </w:rPr>
              <w:t>Údaje o majiteli / odběrateli  - element Party</w:t>
            </w:r>
          </w:p>
          <w:p w:rsidR="0051727F" w:rsidRDefault="0051727F" w:rsidP="00870D66">
            <w:pPr>
              <w:pStyle w:val="Texttabulky"/>
              <w:spacing w:before="0" w:after="0"/>
              <w:rPr>
                <w:highlight w:val="white"/>
              </w:rPr>
            </w:pPr>
            <w:r>
              <w:rPr>
                <w:highlight w:val="white"/>
              </w:rPr>
              <w:t>Poznámka - PDTBlockNote</w:t>
            </w:r>
          </w:p>
        </w:tc>
      </w:tr>
      <w:tr w:rsidR="0051727F" w:rsidTr="00870D66">
        <w:trPr>
          <w:trHeight w:val="288"/>
        </w:trPr>
        <w:tc>
          <w:tcPr>
            <w:tcW w:w="1672" w:type="dxa"/>
          </w:tcPr>
          <w:p w:rsidR="0051727F" w:rsidRDefault="0051727F" w:rsidP="00870D66">
            <w:pPr>
              <w:pStyle w:val="Texttabulky"/>
              <w:spacing w:before="0" w:after="0"/>
              <w:rPr>
                <w:highlight w:val="white"/>
              </w:rPr>
            </w:pPr>
            <w:r>
              <w:rPr>
                <w:highlight w:val="white"/>
              </w:rPr>
              <w:t>DocDetailNote</w:t>
            </w:r>
          </w:p>
        </w:tc>
        <w:tc>
          <w:tcPr>
            <w:tcW w:w="5708" w:type="dxa"/>
          </w:tcPr>
          <w:p w:rsidR="0051727F" w:rsidRDefault="0051727F" w:rsidP="00870D66">
            <w:pPr>
              <w:pStyle w:val="Texttabulky"/>
              <w:spacing w:before="0" w:after="0"/>
              <w:rPr>
                <w:highlight w:val="white"/>
              </w:rPr>
            </w:pPr>
            <w:r>
              <w:rPr>
                <w:b/>
                <w:highlight w:val="white"/>
              </w:rPr>
              <w:t>Poznámka</w:t>
            </w:r>
            <w:r>
              <w:rPr>
                <w:highlight w:val="white"/>
              </w:rPr>
              <w:t xml:space="preserve"> – volný text – na úrovni detailu dokladu.</w:t>
            </w:r>
          </w:p>
        </w:tc>
      </w:tr>
    </w:tbl>
    <w:p w:rsidR="0051727F" w:rsidRDefault="0051727F" w:rsidP="0051727F">
      <w:pPr>
        <w:pStyle w:val="Titulek"/>
        <w:spacing w:after="240"/>
        <w:ind w:left="1138"/>
        <w:jc w:val="center"/>
      </w:pPr>
      <w:bookmarkStart w:id="26" w:name="_Toc280544966"/>
      <w:r>
        <w:t xml:space="preserve">Tabulka </w:t>
      </w:r>
      <w:r>
        <w:fldChar w:fldCharType="begin"/>
      </w:r>
      <w:r>
        <w:instrText xml:space="preserve"> SEQ Tabulka \* ARABIC </w:instrText>
      </w:r>
      <w:r>
        <w:fldChar w:fldCharType="separate"/>
      </w:r>
      <w:r>
        <w:rPr>
          <w:noProof/>
        </w:rPr>
        <w:t>6</w:t>
      </w:r>
      <w:r>
        <w:fldChar w:fldCharType="end"/>
      </w:r>
      <w:r>
        <w:t>: Detail dokladu</w:t>
      </w:r>
      <w:bookmarkEnd w:id="26"/>
    </w:p>
    <w:p w:rsidR="0051727F" w:rsidRDefault="0051727F" w:rsidP="0051727F">
      <w:pPr>
        <w:spacing w:before="120"/>
        <w:ind w:left="1138"/>
        <w:rPr>
          <w:highlight w:val="white"/>
        </w:rPr>
      </w:pPr>
      <w:r>
        <w:rPr>
          <w:highlight w:val="white"/>
        </w:rPr>
        <w:t>Detail o OPM a položky zúčtování OPM jsou obsaženy v bloku OPM – PDTblock. V rámci PDTblock může být uvedeno více seznamů položek. Na této úrovni je možné uvádět kromě vlastních položek zúčtování i položky předpisu záloh nebo seznam zúčtovaných záloh. (Viz také popis položky (BillingItem) v kapitole Popis vybraných elementů.)</w:t>
      </w:r>
    </w:p>
    <w:p w:rsidR="0051727F" w:rsidRDefault="0051727F" w:rsidP="0051727F">
      <w:pPr>
        <w:pStyle w:val="Nadpis3"/>
        <w:ind w:left="0" w:firstLine="0"/>
        <w:rPr>
          <w:highlight w:val="white"/>
        </w:rPr>
      </w:pPr>
      <w:bookmarkStart w:id="27" w:name="_Toc250047868"/>
      <w:bookmarkStart w:id="28" w:name="_Toc280612932"/>
      <w:r>
        <w:rPr>
          <w:highlight w:val="white"/>
        </w:rPr>
        <w:t>Souhrn dokladu</w:t>
      </w:r>
      <w:bookmarkEnd w:id="27"/>
      <w:bookmarkEnd w:id="28"/>
    </w:p>
    <w:p w:rsidR="0051727F" w:rsidRDefault="0051727F" w:rsidP="0051727F">
      <w:pPr>
        <w:rPr>
          <w:highlight w:val="white"/>
        </w:rPr>
      </w:pPr>
      <w:r>
        <w:rPr>
          <w:highlight w:val="white"/>
        </w:rPr>
        <w:t>Element DocSummary obsahuje souhrnné údaje dokladu. Je členěn do následujících elementů:</w:t>
      </w:r>
    </w:p>
    <w:p w:rsidR="0051727F" w:rsidRDefault="0051727F" w:rsidP="0051727F">
      <w:pPr>
        <w:rPr>
          <w:highlight w:val="white"/>
        </w:rPr>
      </w:pP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6"/>
        <w:gridCol w:w="5664"/>
      </w:tblGrid>
      <w:tr w:rsidR="0051727F" w:rsidTr="00870D66">
        <w:trPr>
          <w:trHeight w:val="288"/>
          <w:tblHeader/>
        </w:trPr>
        <w:tc>
          <w:tcPr>
            <w:tcW w:w="1716" w:type="dxa"/>
            <w:shd w:val="clear" w:color="auto" w:fill="C0C0C0"/>
            <w:vAlign w:val="center"/>
          </w:tcPr>
          <w:p w:rsidR="0051727F" w:rsidRDefault="0051727F" w:rsidP="00870D66">
            <w:pPr>
              <w:pStyle w:val="Texttabulky"/>
              <w:spacing w:before="0" w:after="0"/>
              <w:jc w:val="center"/>
              <w:rPr>
                <w:b/>
                <w:highlight w:val="white"/>
              </w:rPr>
            </w:pPr>
            <w:r>
              <w:rPr>
                <w:b/>
              </w:rPr>
              <w:t>Element</w:t>
            </w:r>
          </w:p>
        </w:tc>
        <w:tc>
          <w:tcPr>
            <w:tcW w:w="5664"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6" w:type="dxa"/>
          </w:tcPr>
          <w:p w:rsidR="0051727F" w:rsidRDefault="0051727F" w:rsidP="00870D66">
            <w:pPr>
              <w:pStyle w:val="Texttabulky"/>
              <w:spacing w:before="0" w:after="0"/>
              <w:rPr>
                <w:highlight w:val="white"/>
              </w:rPr>
            </w:pPr>
            <w:r>
              <w:rPr>
                <w:highlight w:val="white"/>
              </w:rPr>
              <w:t>ListOfSumItems</w:t>
            </w:r>
          </w:p>
        </w:tc>
        <w:tc>
          <w:tcPr>
            <w:tcW w:w="5664" w:type="dxa"/>
          </w:tcPr>
          <w:p w:rsidR="0051727F" w:rsidRDefault="0051727F" w:rsidP="00870D66">
            <w:pPr>
              <w:pStyle w:val="Texttabulky"/>
              <w:spacing w:before="0" w:after="0"/>
              <w:rPr>
                <w:highlight w:val="white"/>
              </w:rPr>
            </w:pPr>
            <w:r>
              <w:rPr>
                <w:b/>
                <w:highlight w:val="white"/>
              </w:rPr>
              <w:t>Seznam souhrnných položek</w:t>
            </w:r>
            <w:r>
              <w:rPr>
                <w:highlight w:val="white"/>
              </w:rPr>
              <w:t xml:space="preserve">. Zde je uvedena daňová rekapitulace. V rámci souhrnu dokladu může být specifikováno několik seznamů souhrnných položek – například souhrn fakturovaných položek., zúčtované zálohy. Druh seznamu je specifikován atributem items-category.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7"/>
              <w:gridCol w:w="4306"/>
            </w:tblGrid>
            <w:tr w:rsidR="0051727F" w:rsidTr="00870D66">
              <w:tc>
                <w:tcPr>
                  <w:tcW w:w="1507" w:type="dxa"/>
                </w:tcPr>
                <w:p w:rsidR="0051727F" w:rsidRDefault="0051727F" w:rsidP="00870D66">
                  <w:pPr>
                    <w:pStyle w:val="Texttabulky"/>
                    <w:spacing w:before="0" w:after="0"/>
                    <w:rPr>
                      <w:highlight w:val="white"/>
                    </w:rPr>
                  </w:pPr>
                  <w:r>
                    <w:rPr>
                      <w:highlight w:val="white"/>
                    </w:rPr>
                    <w:t>Druh</w:t>
                  </w:r>
                </w:p>
              </w:tc>
              <w:tc>
                <w:tcPr>
                  <w:tcW w:w="4306" w:type="dxa"/>
                </w:tcPr>
                <w:p w:rsidR="0051727F" w:rsidRDefault="0051727F" w:rsidP="00870D66">
                  <w:pPr>
                    <w:pStyle w:val="Texttabulky"/>
                    <w:spacing w:before="0" w:after="0"/>
                    <w:rPr>
                      <w:highlight w:val="white"/>
                    </w:rPr>
                  </w:pPr>
                  <w:r>
                    <w:rPr>
                      <w:highlight w:val="white"/>
                    </w:rPr>
                    <w:t>Popis</w:t>
                  </w:r>
                </w:p>
              </w:tc>
            </w:tr>
            <w:tr w:rsidR="0051727F" w:rsidTr="00870D66">
              <w:tc>
                <w:tcPr>
                  <w:tcW w:w="1507" w:type="dxa"/>
                </w:tcPr>
                <w:p w:rsidR="0051727F" w:rsidRDefault="0051727F" w:rsidP="00870D66">
                  <w:pPr>
                    <w:pStyle w:val="Texttabulky"/>
                    <w:spacing w:before="0" w:after="0"/>
                    <w:rPr>
                      <w:highlight w:val="white"/>
                    </w:rPr>
                  </w:pPr>
                  <w:r>
                    <w:rPr>
                      <w:highlight w:val="white"/>
                    </w:rPr>
                    <w:t>INV</w:t>
                  </w:r>
                </w:p>
              </w:tc>
              <w:tc>
                <w:tcPr>
                  <w:tcW w:w="4306" w:type="dxa"/>
                </w:tcPr>
                <w:p w:rsidR="0051727F" w:rsidRDefault="0051727F" w:rsidP="00870D66">
                  <w:pPr>
                    <w:pStyle w:val="Texttabulky"/>
                    <w:spacing w:before="0" w:after="0"/>
                    <w:rPr>
                      <w:highlight w:val="white"/>
                    </w:rPr>
                  </w:pPr>
                  <w:r>
                    <w:rPr>
                      <w:highlight w:val="white"/>
                    </w:rPr>
                    <w:t>Položky faktury</w:t>
                  </w:r>
                </w:p>
              </w:tc>
            </w:tr>
            <w:tr w:rsidR="0051727F" w:rsidTr="00870D66">
              <w:tc>
                <w:tcPr>
                  <w:tcW w:w="1507" w:type="dxa"/>
                </w:tcPr>
                <w:p w:rsidR="0051727F" w:rsidRDefault="0051727F" w:rsidP="00870D66">
                  <w:pPr>
                    <w:pStyle w:val="Texttabulky"/>
                    <w:spacing w:before="0" w:after="0"/>
                    <w:rPr>
                      <w:highlight w:val="white"/>
                    </w:rPr>
                  </w:pPr>
                  <w:r>
                    <w:rPr>
                      <w:highlight w:val="white"/>
                    </w:rPr>
                    <w:t>BBP</w:t>
                  </w:r>
                </w:p>
              </w:tc>
              <w:tc>
                <w:tcPr>
                  <w:tcW w:w="4306" w:type="dxa"/>
                </w:tcPr>
                <w:p w:rsidR="0051727F" w:rsidRDefault="0051727F" w:rsidP="00870D66">
                  <w:pPr>
                    <w:pStyle w:val="Texttabulky"/>
                    <w:spacing w:before="0" w:after="0"/>
                    <w:rPr>
                      <w:highlight w:val="white"/>
                    </w:rPr>
                  </w:pPr>
                  <w:r>
                    <w:rPr>
                      <w:highlight w:val="white"/>
                    </w:rPr>
                    <w:t>Předpis záloh</w:t>
                  </w:r>
                </w:p>
              </w:tc>
            </w:tr>
            <w:tr w:rsidR="0051727F" w:rsidTr="00870D66">
              <w:tc>
                <w:tcPr>
                  <w:tcW w:w="1507" w:type="dxa"/>
                </w:tcPr>
                <w:p w:rsidR="0051727F" w:rsidRDefault="0051727F" w:rsidP="00870D66">
                  <w:pPr>
                    <w:pStyle w:val="Texttabulky"/>
                    <w:spacing w:before="0" w:after="0"/>
                    <w:rPr>
                      <w:highlight w:val="white"/>
                    </w:rPr>
                  </w:pPr>
                  <w:r>
                    <w:rPr>
                      <w:highlight w:val="white"/>
                    </w:rPr>
                    <w:t>BBA</w:t>
                  </w:r>
                </w:p>
              </w:tc>
              <w:tc>
                <w:tcPr>
                  <w:tcW w:w="4306" w:type="dxa"/>
                </w:tcPr>
                <w:p w:rsidR="0051727F" w:rsidRDefault="0051727F" w:rsidP="00870D66">
                  <w:pPr>
                    <w:pStyle w:val="Texttabulky"/>
                    <w:spacing w:before="0" w:after="0"/>
                    <w:rPr>
                      <w:highlight w:val="white"/>
                    </w:rPr>
                  </w:pPr>
                  <w:r>
                    <w:rPr>
                      <w:highlight w:val="white"/>
                    </w:rPr>
                    <w:t>Zúčtované zálohy</w:t>
                  </w:r>
                </w:p>
              </w:tc>
            </w:tr>
            <w:tr w:rsidR="0051727F" w:rsidTr="00870D66">
              <w:tc>
                <w:tcPr>
                  <w:tcW w:w="1507" w:type="dxa"/>
                </w:tcPr>
                <w:p w:rsidR="0051727F" w:rsidRDefault="0051727F" w:rsidP="00870D66">
                  <w:pPr>
                    <w:pStyle w:val="Texttabulky"/>
                    <w:spacing w:before="0" w:after="0"/>
                    <w:rPr>
                      <w:highlight w:val="white"/>
                    </w:rPr>
                  </w:pPr>
                  <w:r>
                    <w:rPr>
                      <w:highlight w:val="white"/>
                    </w:rPr>
                    <w:t>BBT</w:t>
                  </w:r>
                </w:p>
              </w:tc>
              <w:tc>
                <w:tcPr>
                  <w:tcW w:w="4306" w:type="dxa"/>
                </w:tcPr>
                <w:p w:rsidR="0051727F" w:rsidRDefault="0051727F" w:rsidP="00870D66">
                  <w:pPr>
                    <w:pStyle w:val="Texttabulky"/>
                    <w:spacing w:before="0" w:after="0"/>
                    <w:rPr>
                      <w:highlight w:val="white"/>
                    </w:rPr>
                  </w:pPr>
                  <w:r>
                    <w:rPr>
                      <w:highlight w:val="white"/>
                    </w:rPr>
                    <w:t xml:space="preserve">Položka daňového dokladu přijaté platby </w:t>
                  </w:r>
                </w:p>
              </w:tc>
            </w:tr>
          </w:tbl>
          <w:p w:rsidR="0051727F" w:rsidRDefault="0051727F" w:rsidP="00870D66">
            <w:pPr>
              <w:pStyle w:val="Texttabulky"/>
              <w:spacing w:before="0" w:after="0"/>
              <w:rPr>
                <w:highlight w:val="white"/>
              </w:rPr>
            </w:pPr>
          </w:p>
          <w:p w:rsidR="0051727F" w:rsidRDefault="0051727F" w:rsidP="00870D66">
            <w:pPr>
              <w:pStyle w:val="Texttabulky"/>
              <w:spacing w:before="0" w:after="0"/>
              <w:rPr>
                <w:highlight w:val="white"/>
              </w:rPr>
            </w:pPr>
            <w:r>
              <w:rPr>
                <w:highlight w:val="white"/>
              </w:rPr>
              <w:t xml:space="preserve">Každý seznam obsahuje kromě položek i mezisoučet (SubTotal). </w:t>
            </w:r>
          </w:p>
        </w:tc>
      </w:tr>
      <w:tr w:rsidR="0051727F" w:rsidTr="00870D66">
        <w:tc>
          <w:tcPr>
            <w:tcW w:w="1716" w:type="dxa"/>
          </w:tcPr>
          <w:p w:rsidR="0051727F" w:rsidRDefault="0051727F" w:rsidP="00870D66">
            <w:pPr>
              <w:pStyle w:val="Texttabulky"/>
              <w:spacing w:before="0" w:after="0"/>
              <w:rPr>
                <w:highlight w:val="white"/>
              </w:rPr>
            </w:pPr>
            <w:r>
              <w:rPr>
                <w:highlight w:val="white"/>
              </w:rPr>
              <w:t>DocumentTotal</w:t>
            </w:r>
          </w:p>
        </w:tc>
        <w:tc>
          <w:tcPr>
            <w:tcW w:w="5664" w:type="dxa"/>
          </w:tcPr>
          <w:p w:rsidR="0051727F" w:rsidRDefault="0051727F" w:rsidP="00870D66">
            <w:pPr>
              <w:pStyle w:val="Texttabulky"/>
              <w:spacing w:before="0" w:after="0"/>
              <w:rPr>
                <w:highlight w:val="white"/>
              </w:rPr>
            </w:pPr>
            <w:r>
              <w:rPr>
                <w:b/>
                <w:highlight w:val="white"/>
              </w:rPr>
              <w:t>Celková částka dokladu</w:t>
            </w:r>
            <w:r>
              <w:rPr>
                <w:highlight w:val="white"/>
              </w:rPr>
              <w:t>. Zde je vyčíslena celková hodnota dokladu, s možností vyčíslení daně.</w:t>
            </w:r>
          </w:p>
          <w:p w:rsidR="0051727F" w:rsidRDefault="0051727F" w:rsidP="00870D66">
            <w:pPr>
              <w:pStyle w:val="Texttabulky"/>
              <w:spacing w:before="0" w:after="0"/>
              <w:rPr>
                <w:highlight w:val="white"/>
              </w:rPr>
            </w:pPr>
            <w:r>
              <w:rPr>
                <w:highlight w:val="white"/>
              </w:rPr>
              <w:t>Bude umožněno vícenásobné opakování (maxOccurs unbounded)</w:t>
            </w:r>
          </w:p>
        </w:tc>
      </w:tr>
      <w:tr w:rsidR="0051727F" w:rsidTr="00870D66">
        <w:tc>
          <w:tcPr>
            <w:tcW w:w="1716" w:type="dxa"/>
          </w:tcPr>
          <w:p w:rsidR="0051727F" w:rsidRDefault="0051727F" w:rsidP="00870D66">
            <w:pPr>
              <w:pStyle w:val="Texttabulky"/>
              <w:spacing w:before="0" w:after="0"/>
              <w:rPr>
                <w:highlight w:val="white"/>
              </w:rPr>
            </w:pPr>
            <w:r>
              <w:rPr>
                <w:highlight w:val="white"/>
              </w:rPr>
              <w:t>Payment summary</w:t>
            </w:r>
          </w:p>
        </w:tc>
        <w:tc>
          <w:tcPr>
            <w:tcW w:w="5664" w:type="dxa"/>
          </w:tcPr>
          <w:p w:rsidR="0051727F" w:rsidRDefault="0051727F" w:rsidP="00870D66">
            <w:pPr>
              <w:pStyle w:val="Texttabulky"/>
              <w:spacing w:before="0" w:after="0"/>
              <w:rPr>
                <w:highlight w:val="white"/>
              </w:rPr>
            </w:pPr>
            <w:r>
              <w:rPr>
                <w:b/>
                <w:highlight w:val="white"/>
              </w:rPr>
              <w:t>Shrnutí plateb</w:t>
            </w:r>
            <w:r>
              <w:rPr>
                <w:highlight w:val="white"/>
              </w:rPr>
              <w:t xml:space="preserve"> (souhrn finančního vyrovnání). Shrnutí obsahuje celkovou fakturovanou částku (</w:t>
            </w:r>
            <w:r>
              <w:rPr>
                <w:i/>
                <w:highlight w:val="white"/>
              </w:rPr>
              <w:t>TotalInvoicedValue</w:t>
            </w:r>
            <w:r>
              <w:rPr>
                <w:highlight w:val="white"/>
              </w:rPr>
              <w:t>), zaplacené zálohy (</w:t>
            </w:r>
            <w:r>
              <w:rPr>
                <w:i/>
                <w:highlight w:val="white"/>
              </w:rPr>
              <w:t>PrepaidAmount</w:t>
            </w:r>
            <w:r>
              <w:rPr>
                <w:highlight w:val="white"/>
              </w:rPr>
              <w:t>) a částku – rozdíl k zaplacení (</w:t>
            </w:r>
            <w:r>
              <w:rPr>
                <w:i/>
                <w:highlight w:val="white"/>
              </w:rPr>
              <w:t>TotalAmountPayable</w:t>
            </w:r>
            <w:r>
              <w:rPr>
                <w:highlight w:val="white"/>
              </w:rPr>
              <w:t>)</w:t>
            </w:r>
          </w:p>
        </w:tc>
      </w:tr>
      <w:tr w:rsidR="0051727F" w:rsidTr="00870D66">
        <w:trPr>
          <w:trHeight w:val="288"/>
        </w:trPr>
        <w:tc>
          <w:tcPr>
            <w:tcW w:w="1716" w:type="dxa"/>
          </w:tcPr>
          <w:p w:rsidR="0051727F" w:rsidRDefault="0051727F" w:rsidP="00870D66">
            <w:pPr>
              <w:pStyle w:val="Texttabulky"/>
              <w:spacing w:before="0" w:after="0"/>
              <w:rPr>
                <w:highlight w:val="white"/>
              </w:rPr>
            </w:pPr>
            <w:r>
              <w:rPr>
                <w:highlight w:val="white"/>
              </w:rPr>
              <w:t>DocSummaryNote</w:t>
            </w:r>
          </w:p>
        </w:tc>
        <w:tc>
          <w:tcPr>
            <w:tcW w:w="5664" w:type="dxa"/>
          </w:tcPr>
          <w:p w:rsidR="0051727F" w:rsidRDefault="0051727F" w:rsidP="00870D66">
            <w:pPr>
              <w:pStyle w:val="Texttabulky"/>
              <w:spacing w:before="0" w:after="0"/>
              <w:rPr>
                <w:highlight w:val="white"/>
              </w:rPr>
            </w:pPr>
            <w:r>
              <w:rPr>
                <w:b/>
                <w:highlight w:val="white"/>
              </w:rPr>
              <w:t>Poznámka – volný text</w:t>
            </w:r>
            <w:r>
              <w:rPr>
                <w:highlight w:val="white"/>
              </w:rPr>
              <w:t xml:space="preserve"> na úrovni souhrnu dokladu.</w:t>
            </w:r>
          </w:p>
        </w:tc>
      </w:tr>
    </w:tbl>
    <w:p w:rsidR="0051727F" w:rsidRDefault="0051727F" w:rsidP="0051727F">
      <w:pPr>
        <w:pStyle w:val="Titulek"/>
        <w:spacing w:after="240"/>
        <w:ind w:left="1138"/>
        <w:jc w:val="center"/>
      </w:pPr>
      <w:bookmarkStart w:id="29" w:name="_Toc250047869"/>
      <w:bookmarkStart w:id="30" w:name="_Toc280544967"/>
      <w:r>
        <w:t xml:space="preserve">Tabulka </w:t>
      </w:r>
      <w:r>
        <w:fldChar w:fldCharType="begin"/>
      </w:r>
      <w:r>
        <w:instrText xml:space="preserve"> SEQ Tabulka \* ARABIC </w:instrText>
      </w:r>
      <w:r>
        <w:fldChar w:fldCharType="separate"/>
      </w:r>
      <w:r>
        <w:rPr>
          <w:noProof/>
        </w:rPr>
        <w:t>7</w:t>
      </w:r>
      <w:r>
        <w:fldChar w:fldCharType="end"/>
      </w:r>
      <w:r>
        <w:t>: Douhrn dokladu</w:t>
      </w:r>
      <w:bookmarkEnd w:id="30"/>
    </w:p>
    <w:p w:rsidR="0051727F" w:rsidRDefault="0051727F" w:rsidP="0051727F">
      <w:pPr>
        <w:rPr>
          <w:lang w:eastAsia="en-US"/>
        </w:rPr>
      </w:pPr>
    </w:p>
    <w:p w:rsidR="0051727F" w:rsidRDefault="0051727F" w:rsidP="0051727F">
      <w:pPr>
        <w:pStyle w:val="Nadpis3"/>
        <w:ind w:left="0" w:firstLine="0"/>
        <w:rPr>
          <w:highlight w:val="white"/>
        </w:rPr>
      </w:pPr>
      <w:r>
        <w:rPr>
          <w:highlight w:val="white"/>
        </w:rPr>
        <w:t>Attachement – příloha</w:t>
      </w:r>
    </w:p>
    <w:p w:rsidR="0051727F" w:rsidRDefault="0051727F" w:rsidP="0051727F">
      <w:pPr>
        <w:rPr>
          <w:lang w:eastAsia="en-US"/>
        </w:rPr>
      </w:pPr>
      <w:r>
        <w:rPr>
          <w:lang w:eastAsia="en-US"/>
        </w:rPr>
        <w:t>Element slouží pro přílohové informace k elektronické faktuře zasílané OTE účastníkům trhu – tj. faktura za služby fakturované OTE. V rámci agregované faktury zasílané PDS není používán.</w:t>
      </w:r>
    </w:p>
    <w:p w:rsidR="0051727F" w:rsidRDefault="0051727F" w:rsidP="0051727F">
      <w:pPr>
        <w:rPr>
          <w:lang w:eastAsia="en-US"/>
        </w:rPr>
      </w:pPr>
      <w:r>
        <w:rPr>
          <w:lang w:eastAsia="en-US"/>
        </w:rPr>
        <w:t>V rámci faktury pro plyn bude element obsahovat atribut GasTax – daň z plynu (obdobně jako je ve faktuře pro elektřinu ElectricityTax)</w:t>
      </w:r>
    </w:p>
    <w:p w:rsidR="0051727F" w:rsidRPr="006A2277" w:rsidRDefault="0051727F" w:rsidP="0051727F">
      <w:pPr>
        <w:rPr>
          <w:lang w:eastAsia="en-US"/>
        </w:rPr>
      </w:pPr>
    </w:p>
    <w:p w:rsidR="0051727F" w:rsidRDefault="0051727F" w:rsidP="0051727F">
      <w:pPr>
        <w:pStyle w:val="Nadpis2"/>
        <w:ind w:left="0" w:firstLine="0"/>
        <w:rPr>
          <w:highlight w:val="white"/>
        </w:rPr>
      </w:pPr>
      <w:bookmarkStart w:id="31" w:name="_Toc280612933"/>
      <w:r>
        <w:rPr>
          <w:highlight w:val="white"/>
        </w:rPr>
        <w:t>Popis vybraných elementů</w:t>
      </w:r>
      <w:bookmarkEnd w:id="29"/>
      <w:bookmarkEnd w:id="31"/>
      <w:r>
        <w:rPr>
          <w:highlight w:val="white"/>
        </w:rPr>
        <w:t xml:space="preserve"> </w:t>
      </w:r>
    </w:p>
    <w:p w:rsidR="0051727F" w:rsidRDefault="0051727F" w:rsidP="0051727F">
      <w:pPr>
        <w:pStyle w:val="Nadpis3"/>
        <w:ind w:left="0" w:firstLine="0"/>
        <w:rPr>
          <w:highlight w:val="white"/>
        </w:rPr>
      </w:pPr>
      <w:bookmarkStart w:id="32" w:name="_Toc250047870"/>
      <w:bookmarkStart w:id="33" w:name="_Toc280612934"/>
      <w:r>
        <w:rPr>
          <w:highlight w:val="white"/>
        </w:rPr>
        <w:t>Party - Data partnera</w:t>
      </w:r>
      <w:bookmarkEnd w:id="32"/>
      <w:bookmarkEnd w:id="33"/>
    </w:p>
    <w:p w:rsidR="0051727F" w:rsidRDefault="0051727F" w:rsidP="0051727F">
      <w:pPr>
        <w:rPr>
          <w:highlight w:val="white"/>
        </w:rPr>
      </w:pPr>
      <w:r>
        <w:rPr>
          <w:highlight w:val="white"/>
        </w:rPr>
        <w:t>Data partnera jsou členěna do následujících elementů.</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0"/>
        <w:gridCol w:w="5720"/>
      </w:tblGrid>
      <w:tr w:rsidR="0051727F" w:rsidTr="00870D66">
        <w:trPr>
          <w:trHeight w:val="288"/>
        </w:trPr>
        <w:tc>
          <w:tcPr>
            <w:tcW w:w="1660" w:type="dxa"/>
            <w:shd w:val="clear" w:color="auto" w:fill="C0C0C0"/>
            <w:vAlign w:val="center"/>
          </w:tcPr>
          <w:p w:rsidR="0051727F" w:rsidRDefault="0051727F" w:rsidP="00870D66">
            <w:pPr>
              <w:pStyle w:val="Texttabulky"/>
              <w:spacing w:before="0" w:after="0"/>
              <w:jc w:val="center"/>
              <w:rPr>
                <w:b/>
                <w:highlight w:val="white"/>
              </w:rPr>
            </w:pPr>
            <w:r>
              <w:rPr>
                <w:b/>
              </w:rPr>
              <w:t>Element</w:t>
            </w:r>
          </w:p>
        </w:tc>
        <w:tc>
          <w:tcPr>
            <w:tcW w:w="572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PartyID</w:t>
            </w:r>
          </w:p>
        </w:tc>
        <w:tc>
          <w:tcPr>
            <w:tcW w:w="5720" w:type="dxa"/>
          </w:tcPr>
          <w:p w:rsidR="0051727F" w:rsidRDefault="0051727F" w:rsidP="00870D66">
            <w:pPr>
              <w:pStyle w:val="Texttabulky"/>
              <w:spacing w:before="0" w:after="0"/>
              <w:rPr>
                <w:highlight w:val="white"/>
              </w:rPr>
            </w:pPr>
            <w:r>
              <w:rPr>
                <w:highlight w:val="white"/>
              </w:rPr>
              <w:t xml:space="preserve">Základní identifikační údaje partnera – IČ, DIĆ, zápis v obchodním rejstříku </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BankAccount</w:t>
            </w:r>
          </w:p>
        </w:tc>
        <w:tc>
          <w:tcPr>
            <w:tcW w:w="5720" w:type="dxa"/>
          </w:tcPr>
          <w:p w:rsidR="0051727F" w:rsidRDefault="0051727F" w:rsidP="00870D66">
            <w:pPr>
              <w:pStyle w:val="Texttabulky"/>
              <w:spacing w:before="0" w:after="0"/>
              <w:rPr>
                <w:highlight w:val="white"/>
              </w:rPr>
            </w:pPr>
            <w:r>
              <w:rPr>
                <w:highlight w:val="white"/>
              </w:rPr>
              <w:t>Bankovní spojení. Nemusí být vyplněno pro příjemce dokladu.</w:t>
            </w:r>
          </w:p>
          <w:p w:rsidR="0051727F" w:rsidRDefault="0051727F" w:rsidP="00870D66">
            <w:pPr>
              <w:pStyle w:val="Texttabulky"/>
              <w:spacing w:before="0" w:after="0"/>
              <w:rPr>
                <w:highlight w:val="white"/>
              </w:rPr>
            </w:pPr>
            <w:r>
              <w:rPr>
                <w:highlight w:val="white"/>
              </w:rPr>
              <w:t>Bude doplněn nepovinný atribut SWIFT code</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NameAddress</w:t>
            </w:r>
          </w:p>
        </w:tc>
        <w:tc>
          <w:tcPr>
            <w:tcW w:w="5720" w:type="dxa"/>
          </w:tcPr>
          <w:p w:rsidR="0051727F" w:rsidRDefault="0051727F" w:rsidP="00870D66">
            <w:pPr>
              <w:pStyle w:val="Texttabulky"/>
              <w:spacing w:before="0" w:after="0"/>
              <w:rPr>
                <w:highlight w:val="white"/>
              </w:rPr>
            </w:pPr>
            <w:r>
              <w:rPr>
                <w:highlight w:val="white"/>
              </w:rPr>
              <w:t>Jméno / název partnera, adresní údaje.</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Communication</w:t>
            </w:r>
          </w:p>
        </w:tc>
        <w:tc>
          <w:tcPr>
            <w:tcW w:w="5720" w:type="dxa"/>
          </w:tcPr>
          <w:p w:rsidR="0051727F" w:rsidRDefault="0051727F" w:rsidP="00870D66">
            <w:pPr>
              <w:pStyle w:val="Texttabulky"/>
              <w:spacing w:before="0" w:after="0"/>
              <w:rPr>
                <w:highlight w:val="white"/>
              </w:rPr>
            </w:pPr>
            <w:r>
              <w:rPr>
                <w:highlight w:val="white"/>
              </w:rPr>
              <w:t xml:space="preserve">Komunikační adresy - Email, www pro informace </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Contact</w:t>
            </w:r>
          </w:p>
        </w:tc>
        <w:tc>
          <w:tcPr>
            <w:tcW w:w="5720" w:type="dxa"/>
          </w:tcPr>
          <w:p w:rsidR="0051727F" w:rsidRDefault="0051727F" w:rsidP="00870D66">
            <w:pPr>
              <w:pStyle w:val="Texttabulky"/>
              <w:spacing w:before="0" w:after="0"/>
              <w:rPr>
                <w:highlight w:val="white"/>
              </w:rPr>
            </w:pPr>
            <w:r>
              <w:rPr>
                <w:highlight w:val="white"/>
              </w:rPr>
              <w:t xml:space="preserve">Kontaktní osoby uvedené na dokladu. </w:t>
            </w:r>
          </w:p>
        </w:tc>
      </w:tr>
      <w:tr w:rsidR="0051727F" w:rsidTr="00870D66">
        <w:trPr>
          <w:trHeight w:val="288"/>
        </w:trPr>
        <w:tc>
          <w:tcPr>
            <w:tcW w:w="1660" w:type="dxa"/>
          </w:tcPr>
          <w:p w:rsidR="0051727F" w:rsidRDefault="0051727F" w:rsidP="00870D66">
            <w:pPr>
              <w:pStyle w:val="Texttabulky"/>
              <w:spacing w:before="0" w:after="0"/>
              <w:rPr>
                <w:highlight w:val="white"/>
              </w:rPr>
            </w:pPr>
            <w:r>
              <w:rPr>
                <w:highlight w:val="white"/>
              </w:rPr>
              <w:t>ReferencePartyID</w:t>
            </w:r>
          </w:p>
        </w:tc>
        <w:tc>
          <w:tcPr>
            <w:tcW w:w="5720" w:type="dxa"/>
          </w:tcPr>
          <w:p w:rsidR="0051727F" w:rsidRDefault="0051727F" w:rsidP="00870D66">
            <w:pPr>
              <w:pStyle w:val="Texttabulky"/>
              <w:spacing w:before="0" w:after="0"/>
              <w:rPr>
                <w:highlight w:val="white"/>
              </w:rPr>
            </w:pPr>
            <w:r>
              <w:rPr>
                <w:highlight w:val="white"/>
              </w:rPr>
              <w:t>Další identifikace partnera – například číslo zákazníka, číslo smluvního účtu v systému dodavatele.</w:t>
            </w:r>
          </w:p>
        </w:tc>
      </w:tr>
    </w:tbl>
    <w:p w:rsidR="0051727F" w:rsidRDefault="0051727F" w:rsidP="0051727F">
      <w:pPr>
        <w:pStyle w:val="Titulek"/>
        <w:spacing w:after="240"/>
        <w:ind w:left="1138"/>
        <w:jc w:val="center"/>
      </w:pPr>
      <w:bookmarkStart w:id="34" w:name="_Toc250047871"/>
      <w:bookmarkStart w:id="35" w:name="_Toc280544968"/>
      <w:r>
        <w:t xml:space="preserve">Tabulka </w:t>
      </w:r>
      <w:r>
        <w:fldChar w:fldCharType="begin"/>
      </w:r>
      <w:r>
        <w:instrText xml:space="preserve"> SEQ Tabulka \* ARABIC </w:instrText>
      </w:r>
      <w:r>
        <w:fldChar w:fldCharType="separate"/>
      </w:r>
      <w:r>
        <w:rPr>
          <w:noProof/>
        </w:rPr>
        <w:t>8</w:t>
      </w:r>
      <w:r>
        <w:fldChar w:fldCharType="end"/>
      </w:r>
      <w:r>
        <w:t>: Data partnera</w:t>
      </w:r>
      <w:bookmarkEnd w:id="35"/>
    </w:p>
    <w:p w:rsidR="0051727F" w:rsidRDefault="0051727F" w:rsidP="0051727F">
      <w:pPr>
        <w:pStyle w:val="Nadpis3"/>
        <w:ind w:left="0" w:firstLine="0"/>
        <w:rPr>
          <w:highlight w:val="white"/>
        </w:rPr>
      </w:pPr>
      <w:bookmarkStart w:id="36" w:name="_Toc280612935"/>
      <w:r>
        <w:rPr>
          <w:highlight w:val="white"/>
        </w:rPr>
        <w:t>Item - Data položky dokladu</w:t>
      </w:r>
      <w:bookmarkEnd w:id="34"/>
      <w:bookmarkEnd w:id="36"/>
    </w:p>
    <w:p w:rsidR="0051727F" w:rsidRDefault="0051727F" w:rsidP="0051727F">
      <w:pPr>
        <w:rPr>
          <w:highlight w:val="white"/>
        </w:rPr>
      </w:pPr>
      <w:r>
        <w:rPr>
          <w:highlight w:val="white"/>
        </w:rPr>
        <w:t>Element item má atributy:</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highlight w:val="white"/>
              </w:rPr>
            </w:pPr>
            <w:r>
              <w:rPr>
                <w:b/>
              </w:rPr>
              <w:t>Atribut</w:t>
            </w:r>
          </w:p>
        </w:tc>
        <w:tc>
          <w:tcPr>
            <w:tcW w:w="567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item-type</w:t>
            </w:r>
          </w:p>
        </w:tc>
        <w:tc>
          <w:tcPr>
            <w:tcW w:w="5670" w:type="dxa"/>
          </w:tcPr>
          <w:p w:rsidR="0051727F" w:rsidRDefault="0051727F" w:rsidP="00870D66">
            <w:pPr>
              <w:pStyle w:val="Texttabulky"/>
              <w:spacing w:before="0" w:after="0"/>
              <w:rPr>
                <w:highlight w:val="white"/>
              </w:rPr>
            </w:pPr>
            <w:r>
              <w:rPr>
                <w:highlight w:val="white"/>
              </w:rPr>
              <w:t xml:space="preserve">Typ položky – aktuálně na úrovni položky dokladu identifikován pouze typ „G01 – Regulované služby – celkově“. Tento typ se použije i pro předpis záloh, zúčtované zálohy, položky daňového dokladu pro přijaté platby. </w:t>
            </w:r>
          </w:p>
        </w:tc>
      </w:tr>
      <w:tr w:rsidR="0051727F" w:rsidTr="00870D66">
        <w:tc>
          <w:tcPr>
            <w:tcW w:w="1710" w:type="dxa"/>
          </w:tcPr>
          <w:p w:rsidR="0051727F" w:rsidRDefault="0051727F" w:rsidP="00870D66">
            <w:pPr>
              <w:pStyle w:val="Texttabulky"/>
              <w:spacing w:before="0" w:after="0"/>
              <w:rPr>
                <w:highlight w:val="white"/>
              </w:rPr>
            </w:pPr>
            <w:r>
              <w:rPr>
                <w:highlight w:val="white"/>
              </w:rPr>
              <w:t>doc-number</w:t>
            </w:r>
          </w:p>
        </w:tc>
        <w:tc>
          <w:tcPr>
            <w:tcW w:w="5670" w:type="dxa"/>
          </w:tcPr>
          <w:p w:rsidR="0051727F" w:rsidRDefault="0051727F" w:rsidP="00870D66">
            <w:pPr>
              <w:pStyle w:val="Texttabulky"/>
              <w:spacing w:before="0" w:after="0"/>
              <w:rPr>
                <w:highlight w:val="white"/>
              </w:rPr>
            </w:pPr>
            <w:r>
              <w:rPr>
                <w:highlight w:val="white"/>
              </w:rPr>
              <w:t>Číslo daňového dokladu – uvádí se v případě vystavení předpisu záloh, kdy je každý předpis (položka) daňovým dokladem.</w:t>
            </w:r>
          </w:p>
        </w:tc>
      </w:tr>
    </w:tbl>
    <w:p w:rsidR="0051727F" w:rsidRDefault="0051727F" w:rsidP="0051727F">
      <w:pPr>
        <w:pStyle w:val="Titulek"/>
        <w:spacing w:after="240"/>
        <w:ind w:left="1138"/>
        <w:jc w:val="center"/>
      </w:pPr>
      <w:bookmarkStart w:id="37" w:name="_Toc280544969"/>
      <w:r>
        <w:t xml:space="preserve">Tabulka </w:t>
      </w:r>
      <w:r>
        <w:fldChar w:fldCharType="begin"/>
      </w:r>
      <w:r>
        <w:instrText xml:space="preserve"> SEQ Tabulka \* ARABIC </w:instrText>
      </w:r>
      <w:r>
        <w:fldChar w:fldCharType="separate"/>
      </w:r>
      <w:r>
        <w:rPr>
          <w:noProof/>
        </w:rPr>
        <w:t>9</w:t>
      </w:r>
      <w:r>
        <w:fldChar w:fldCharType="end"/>
      </w:r>
      <w:r>
        <w:t>: Element item</w:t>
      </w:r>
      <w:bookmarkEnd w:id="37"/>
    </w:p>
    <w:p w:rsidR="0051727F" w:rsidRDefault="0051727F" w:rsidP="0051727F">
      <w:pPr>
        <w:spacing w:before="120"/>
        <w:ind w:left="1138"/>
        <w:rPr>
          <w:highlight w:val="white"/>
        </w:rPr>
      </w:pPr>
      <w:r>
        <w:rPr>
          <w:highlight w:val="white"/>
        </w:rPr>
        <w:t>Data položky jsou členěna do následujících elementů.</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c>
          <w:tcPr>
            <w:tcW w:w="1710" w:type="dxa"/>
            <w:shd w:val="clear" w:color="auto" w:fill="B3B3B3"/>
          </w:tcPr>
          <w:p w:rsidR="0051727F" w:rsidRDefault="0051727F" w:rsidP="00870D66">
            <w:pPr>
              <w:pStyle w:val="Texttabulky"/>
              <w:spacing w:before="0" w:after="0"/>
              <w:rPr>
                <w:b/>
                <w:highlight w:val="white"/>
              </w:rPr>
            </w:pPr>
            <w:r>
              <w:rPr>
                <w:b/>
              </w:rPr>
              <w:t>Element</w:t>
            </w:r>
          </w:p>
        </w:tc>
        <w:tc>
          <w:tcPr>
            <w:tcW w:w="5670" w:type="dxa"/>
            <w:shd w:val="clear" w:color="auto" w:fill="B3B3B3"/>
          </w:tcPr>
          <w:p w:rsidR="0051727F" w:rsidRDefault="0051727F" w:rsidP="00870D66">
            <w:pPr>
              <w:pStyle w:val="Texttabulky"/>
              <w:spacing w:before="0" w:after="0"/>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BaseItemDetail</w:t>
            </w:r>
          </w:p>
        </w:tc>
        <w:tc>
          <w:tcPr>
            <w:tcW w:w="5670" w:type="dxa"/>
          </w:tcPr>
          <w:p w:rsidR="0051727F" w:rsidRDefault="0051727F" w:rsidP="00870D66">
            <w:pPr>
              <w:pStyle w:val="Texttabulky"/>
              <w:spacing w:before="0" w:after="0"/>
              <w:rPr>
                <w:highlight w:val="white"/>
              </w:rPr>
            </w:pPr>
            <w:r>
              <w:rPr>
                <w:highlight w:val="white"/>
              </w:rPr>
              <w:t>Detail základu položky – obsahuje předmět položky – popis, množství, měrnou jednotku</w:t>
            </w:r>
          </w:p>
          <w:p w:rsidR="0051727F" w:rsidRDefault="0051727F" w:rsidP="00870D66">
            <w:pPr>
              <w:pStyle w:val="Texttabulky"/>
              <w:spacing w:before="0" w:after="0"/>
              <w:rPr>
                <w:highlight w:val="white"/>
              </w:rPr>
            </w:pPr>
            <w:r>
              <w:t>E</w:t>
            </w:r>
            <w:r w:rsidRPr="00CA430D">
              <w:t xml:space="preserve">lementu BaseItemDetail </w:t>
            </w:r>
            <w:r>
              <w:t xml:space="preserve">bude  možné </w:t>
            </w:r>
            <w:r w:rsidRPr="00CA430D">
              <w:t xml:space="preserve">vícekrát </w:t>
            </w:r>
            <w:r>
              <w:t xml:space="preserve">opakovat </w:t>
            </w:r>
            <w:r w:rsidRPr="00CA430D">
              <w:t xml:space="preserve">– </w:t>
            </w:r>
            <w:r>
              <w:t xml:space="preserve">v případě položky „distribuované množství plynu“ </w:t>
            </w:r>
            <w:r w:rsidRPr="00CA430D">
              <w:t>pro kWh, m3 a spalné teplot budou 3 elementy.</w:t>
            </w:r>
          </w:p>
        </w:tc>
      </w:tr>
      <w:tr w:rsidR="0051727F" w:rsidTr="00870D66">
        <w:tc>
          <w:tcPr>
            <w:tcW w:w="1710" w:type="dxa"/>
          </w:tcPr>
          <w:p w:rsidR="0051727F" w:rsidRDefault="0051727F" w:rsidP="00870D66">
            <w:pPr>
              <w:pStyle w:val="Texttabulky"/>
              <w:spacing w:before="0" w:after="0"/>
              <w:rPr>
                <w:highlight w:val="white"/>
              </w:rPr>
            </w:pPr>
            <w:r>
              <w:rPr>
                <w:highlight w:val="white"/>
              </w:rPr>
              <w:t>PricingDetail</w:t>
            </w:r>
          </w:p>
        </w:tc>
        <w:tc>
          <w:tcPr>
            <w:tcW w:w="5670" w:type="dxa"/>
          </w:tcPr>
          <w:p w:rsidR="0051727F" w:rsidRDefault="0051727F" w:rsidP="00870D66">
            <w:pPr>
              <w:pStyle w:val="Texttabulky"/>
              <w:spacing w:before="0" w:after="0"/>
              <w:rPr>
                <w:highlight w:val="white"/>
              </w:rPr>
            </w:pPr>
            <w:r>
              <w:rPr>
                <w:highlight w:val="white"/>
              </w:rPr>
              <w:t xml:space="preserve">Detail ocenění položky – obsahuje jednotkovou cenu, položky daně, celkovou cenu za položku. </w:t>
            </w:r>
          </w:p>
        </w:tc>
      </w:tr>
      <w:tr w:rsidR="0051727F" w:rsidTr="00870D66">
        <w:tc>
          <w:tcPr>
            <w:tcW w:w="1710" w:type="dxa"/>
          </w:tcPr>
          <w:p w:rsidR="0051727F" w:rsidRDefault="0051727F" w:rsidP="00870D66">
            <w:pPr>
              <w:pStyle w:val="Texttabulky"/>
              <w:spacing w:before="0" w:after="0"/>
              <w:rPr>
                <w:highlight w:val="white"/>
              </w:rPr>
            </w:pPr>
            <w:r>
              <w:rPr>
                <w:highlight w:val="white"/>
              </w:rPr>
              <w:t>PaymentInfo</w:t>
            </w:r>
          </w:p>
        </w:tc>
        <w:tc>
          <w:tcPr>
            <w:tcW w:w="5670" w:type="dxa"/>
          </w:tcPr>
          <w:p w:rsidR="0051727F" w:rsidRDefault="0051727F" w:rsidP="00870D66">
            <w:pPr>
              <w:pStyle w:val="Texttabulky"/>
              <w:spacing w:before="0" w:after="0"/>
              <w:rPr>
                <w:highlight w:val="white"/>
              </w:rPr>
            </w:pPr>
            <w:r>
              <w:rPr>
                <w:highlight w:val="white"/>
              </w:rPr>
              <w:t>Informace k identifikaci platby – variabilní, konstantní, specifický symbol, použije se při předpisu záloh.</w:t>
            </w:r>
          </w:p>
        </w:tc>
      </w:tr>
      <w:tr w:rsidR="0051727F" w:rsidTr="00870D66">
        <w:tc>
          <w:tcPr>
            <w:tcW w:w="1710" w:type="dxa"/>
          </w:tcPr>
          <w:p w:rsidR="0051727F" w:rsidRDefault="0051727F" w:rsidP="00870D66">
            <w:pPr>
              <w:pStyle w:val="Texttabulky"/>
              <w:spacing w:before="0" w:after="0"/>
              <w:rPr>
                <w:highlight w:val="white"/>
              </w:rPr>
            </w:pPr>
            <w:r>
              <w:rPr>
                <w:highlight w:val="white"/>
              </w:rPr>
              <w:t>ItemDates</w:t>
            </w:r>
          </w:p>
        </w:tc>
        <w:tc>
          <w:tcPr>
            <w:tcW w:w="5670" w:type="dxa"/>
          </w:tcPr>
          <w:p w:rsidR="0051727F" w:rsidRDefault="0051727F" w:rsidP="00870D66">
            <w:pPr>
              <w:pStyle w:val="Texttabulky"/>
              <w:spacing w:before="0" w:after="0"/>
              <w:rPr>
                <w:highlight w:val="white"/>
              </w:rPr>
            </w:pPr>
            <w:r>
              <w:rPr>
                <w:highlight w:val="white"/>
              </w:rPr>
              <w:t xml:space="preserve">Data vztahující se k položce </w:t>
            </w:r>
          </w:p>
          <w:p w:rsidR="0051727F" w:rsidRDefault="0051727F" w:rsidP="00870D66">
            <w:pPr>
              <w:pStyle w:val="Texttabulky"/>
              <w:spacing w:before="0" w:after="0"/>
              <w:rPr>
                <w:highlight w:val="white"/>
              </w:rPr>
            </w:pPr>
            <w:r>
              <w:rPr>
                <w:highlight w:val="white"/>
              </w:rPr>
              <w:t>due-date - Datum splatnosti – použije se pro předpis zálohy</w:t>
            </w:r>
          </w:p>
          <w:p w:rsidR="0051727F" w:rsidRDefault="0051727F" w:rsidP="00870D66">
            <w:pPr>
              <w:pStyle w:val="Texttabulky"/>
              <w:spacing w:before="0" w:after="0"/>
              <w:rPr>
                <w:highlight w:val="white"/>
              </w:rPr>
            </w:pPr>
            <w:r>
              <w:rPr>
                <w:highlight w:val="white"/>
              </w:rPr>
              <w:t>payment-date – Datum platby – použije se pro zúčtované zálohy</w:t>
            </w:r>
          </w:p>
          <w:p w:rsidR="0051727F" w:rsidRDefault="0051727F" w:rsidP="00870D66">
            <w:pPr>
              <w:pStyle w:val="Texttabulky"/>
              <w:spacing w:before="0" w:after="0"/>
              <w:rPr>
                <w:highlight w:val="white"/>
              </w:rPr>
            </w:pPr>
            <w:r>
              <w:rPr>
                <w:highlight w:val="white"/>
              </w:rPr>
              <w:t>billing-period-from – Začátek zúčtovacího období</w:t>
            </w:r>
          </w:p>
          <w:p w:rsidR="0051727F" w:rsidRDefault="0051727F" w:rsidP="00870D66">
            <w:pPr>
              <w:pStyle w:val="Texttabulky"/>
              <w:spacing w:before="0" w:after="0"/>
              <w:rPr>
                <w:highlight w:val="white"/>
              </w:rPr>
            </w:pPr>
            <w:r>
              <w:rPr>
                <w:highlight w:val="white"/>
              </w:rPr>
              <w:t>billing-period-to – Konec zúčtovacího období</w:t>
            </w:r>
          </w:p>
          <w:p w:rsidR="0051727F" w:rsidRDefault="0051727F" w:rsidP="00870D66">
            <w:pPr>
              <w:pStyle w:val="Texttabulky"/>
              <w:spacing w:before="0" w:after="0"/>
              <w:rPr>
                <w:highlight w:val="white"/>
              </w:rPr>
            </w:pPr>
            <w:r>
              <w:rPr>
                <w:highlight w:val="white"/>
              </w:rPr>
              <w:lastRenderedPageBreak/>
              <w:t>- použije se pro specifikaci zúčtovacího období, např. u předpisu záloh aj.</w:t>
            </w:r>
          </w:p>
        </w:tc>
      </w:tr>
    </w:tbl>
    <w:p w:rsidR="0051727F" w:rsidRPr="00DB36C2" w:rsidRDefault="0051727F" w:rsidP="0051727F">
      <w:pPr>
        <w:pStyle w:val="Titulek"/>
        <w:spacing w:after="240"/>
        <w:ind w:left="1138"/>
        <w:jc w:val="center"/>
      </w:pPr>
      <w:bookmarkStart w:id="38" w:name="_Toc250047872"/>
      <w:bookmarkStart w:id="39" w:name="_Toc280544970"/>
      <w:r>
        <w:lastRenderedPageBreak/>
        <w:t xml:space="preserve">Tabulka </w:t>
      </w:r>
      <w:r>
        <w:fldChar w:fldCharType="begin"/>
      </w:r>
      <w:r>
        <w:instrText xml:space="preserve"> SEQ Tabulka \* ARABIC </w:instrText>
      </w:r>
      <w:r>
        <w:fldChar w:fldCharType="separate"/>
      </w:r>
      <w:r>
        <w:rPr>
          <w:noProof/>
        </w:rPr>
        <w:t>10</w:t>
      </w:r>
      <w:r>
        <w:fldChar w:fldCharType="end"/>
      </w:r>
      <w:r>
        <w:t>: Členění položky</w:t>
      </w:r>
      <w:bookmarkEnd w:id="39"/>
    </w:p>
    <w:p w:rsidR="0051727F" w:rsidRDefault="0051727F" w:rsidP="0051727F">
      <w:pPr>
        <w:pStyle w:val="Nadpis3"/>
        <w:ind w:left="0" w:firstLine="0"/>
        <w:rPr>
          <w:highlight w:val="white"/>
        </w:rPr>
      </w:pPr>
      <w:bookmarkStart w:id="40" w:name="_Toc280612936"/>
      <w:r>
        <w:rPr>
          <w:highlight w:val="white"/>
        </w:rPr>
        <w:t>BillingItem – Položka zúčtování OPM</w:t>
      </w:r>
      <w:bookmarkEnd w:id="38"/>
      <w:bookmarkEnd w:id="40"/>
    </w:p>
    <w:p w:rsidR="0051727F" w:rsidRDefault="0051727F" w:rsidP="0051727F">
      <w:pPr>
        <w:rPr>
          <w:highlight w:val="white"/>
        </w:rPr>
      </w:pPr>
      <w:r>
        <w:rPr>
          <w:highlight w:val="white"/>
        </w:rPr>
        <w:t>Element BillingItem má následující atributy:</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highlight w:val="white"/>
              </w:rPr>
            </w:pPr>
            <w:r>
              <w:rPr>
                <w:b/>
              </w:rPr>
              <w:t>Atribut</w:t>
            </w:r>
          </w:p>
        </w:tc>
        <w:tc>
          <w:tcPr>
            <w:tcW w:w="567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item-type</w:t>
            </w:r>
          </w:p>
        </w:tc>
        <w:tc>
          <w:tcPr>
            <w:tcW w:w="5670" w:type="dxa"/>
          </w:tcPr>
          <w:p w:rsidR="0051727F" w:rsidRDefault="0051727F" w:rsidP="00870D66">
            <w:pPr>
              <w:pStyle w:val="Texttabulky"/>
              <w:spacing w:before="0" w:after="0"/>
              <w:rPr>
                <w:highlight w:val="white"/>
              </w:rPr>
            </w:pPr>
            <w:r>
              <w:rPr>
                <w:highlight w:val="white"/>
              </w:rPr>
              <w:t>Typ položky – identifikuje typy položky. Předpokládá se použití typů položek zúčtování regulovaných služeb.</w:t>
            </w:r>
          </w:p>
          <w:p w:rsidR="0051727F" w:rsidRDefault="0051727F" w:rsidP="00870D66">
            <w:pPr>
              <w:pStyle w:val="Texttabulky"/>
              <w:spacing w:before="0" w:after="0"/>
              <w:rPr>
                <w:highlight w:val="white"/>
              </w:rPr>
            </w:pPr>
            <w:r>
              <w:rPr>
                <w:highlight w:val="white"/>
              </w:rPr>
              <w:t>Pro plyn budou použity následující položky</w:t>
            </w:r>
          </w:p>
          <w:tbl>
            <w:tblPr>
              <w:tblW w:w="6880" w:type="dxa"/>
              <w:tblLayout w:type="fixed"/>
              <w:tblCellMar>
                <w:left w:w="70" w:type="dxa"/>
                <w:right w:w="70" w:type="dxa"/>
              </w:tblCellMar>
              <w:tblLook w:val="04A0" w:firstRow="1" w:lastRow="0" w:firstColumn="1" w:lastColumn="0" w:noHBand="0" w:noVBand="1"/>
            </w:tblPr>
            <w:tblGrid>
              <w:gridCol w:w="759"/>
              <w:gridCol w:w="6121"/>
            </w:tblGrid>
            <w:tr w:rsidR="0051727F" w:rsidRPr="00E56083" w:rsidTr="00DD77FD">
              <w:trPr>
                <w:trHeight w:val="600"/>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Item-type</w:t>
                  </w:r>
                </w:p>
              </w:tc>
              <w:tc>
                <w:tcPr>
                  <w:tcW w:w="6121" w:type="dxa"/>
                  <w:tcBorders>
                    <w:top w:val="single" w:sz="4" w:space="0" w:color="auto"/>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Význam</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GG001</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pevná kapacita</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GG002</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pevná kapacita klouzavá</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GG003</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pevná kapacita měsíční</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GG004</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pevná kapacita na dobu neurčitou</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GG005</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pevná kapacita ve výši hist. maxima</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GG006</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 xml:space="preserve">Denní rezervovaná přerušitelná kapacita </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GG007</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Denní rezervovaná přerušitelná kapacita měsíční</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GG008</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Distribuované množství plynu</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GG009</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Korekce spotřeby</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GG010</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Náhrada nákladů souvisejících se zjištěním a vyčíslením neopr. odběru</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GG011</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Odebraný zemní plyn</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GG012</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Poplatek za mimořádnou fakturaci</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GG013</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Poplatek za mimořádný odečet</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GG014</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Poplatek za služby operátora trhu</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GG015</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Překročení denní rezervované kapacity</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GG016</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Sleva povodně</w:t>
                  </w:r>
                </w:p>
              </w:tc>
            </w:tr>
            <w:tr w:rsidR="0051727F"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GG017</w:t>
                  </w:r>
                </w:p>
              </w:tc>
              <w:tc>
                <w:tcPr>
                  <w:tcW w:w="6121" w:type="dxa"/>
                  <w:tcBorders>
                    <w:top w:val="nil"/>
                    <w:left w:val="nil"/>
                    <w:bottom w:val="single" w:sz="4" w:space="0" w:color="auto"/>
                    <w:right w:val="single" w:sz="4" w:space="0" w:color="auto"/>
                  </w:tcBorders>
                  <w:shd w:val="clear" w:color="auto" w:fill="auto"/>
                  <w:noWrap/>
                  <w:vAlign w:val="center"/>
                  <w:hideMark/>
                </w:tcPr>
                <w:p w:rsidR="0051727F" w:rsidRPr="00E56083" w:rsidRDefault="0051727F" w:rsidP="00870D66">
                  <w:pPr>
                    <w:autoSpaceDE/>
                    <w:autoSpaceDN/>
                    <w:rPr>
                      <w:rFonts w:ascii="Calibri" w:hAnsi="Calibri" w:cs="Calibri"/>
                      <w:color w:val="000000"/>
                      <w:sz w:val="22"/>
                      <w:szCs w:val="22"/>
                    </w:rPr>
                  </w:pPr>
                  <w:r w:rsidRPr="00E56083">
                    <w:rPr>
                      <w:rFonts w:ascii="Calibri" w:hAnsi="Calibri" w:cs="Calibri"/>
                      <w:color w:val="000000"/>
                      <w:sz w:val="22"/>
                      <w:szCs w:val="22"/>
                    </w:rPr>
                    <w:t>Sleva přerušení</w:t>
                  </w:r>
                </w:p>
              </w:tc>
            </w:tr>
            <w:tr w:rsidR="00DD77FD"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tcPr>
                <w:p w:rsidR="00DD77FD" w:rsidRPr="00E56083" w:rsidRDefault="00DD77FD" w:rsidP="00870D66">
                  <w:pPr>
                    <w:autoSpaceDE/>
                    <w:autoSpaceDN/>
                    <w:rPr>
                      <w:rFonts w:ascii="Calibri" w:hAnsi="Calibri" w:cs="Calibri"/>
                      <w:color w:val="000000"/>
                      <w:sz w:val="22"/>
                      <w:szCs w:val="22"/>
                    </w:rPr>
                  </w:pPr>
                  <w:r w:rsidRPr="00E56083">
                    <w:rPr>
                      <w:rFonts w:ascii="Calibri" w:hAnsi="Calibri" w:cs="Calibri"/>
                      <w:color w:val="000000"/>
                      <w:sz w:val="22"/>
                      <w:szCs w:val="22"/>
                    </w:rPr>
                    <w:t>GG018</w:t>
                  </w:r>
                </w:p>
              </w:tc>
              <w:tc>
                <w:tcPr>
                  <w:tcW w:w="6121" w:type="dxa"/>
                  <w:tcBorders>
                    <w:top w:val="nil"/>
                    <w:left w:val="nil"/>
                    <w:bottom w:val="single" w:sz="4" w:space="0" w:color="auto"/>
                    <w:right w:val="single" w:sz="4" w:space="0" w:color="auto"/>
                  </w:tcBorders>
                  <w:shd w:val="clear" w:color="auto" w:fill="auto"/>
                  <w:noWrap/>
                  <w:vAlign w:val="center"/>
                </w:tcPr>
                <w:p w:rsidR="00DD77FD" w:rsidRPr="00E56083" w:rsidRDefault="00DD77FD" w:rsidP="00870D66">
                  <w:pPr>
                    <w:autoSpaceDE/>
                    <w:autoSpaceDN/>
                    <w:rPr>
                      <w:rFonts w:ascii="Calibri" w:hAnsi="Calibri" w:cs="Calibri"/>
                      <w:color w:val="000000"/>
                      <w:sz w:val="22"/>
                      <w:szCs w:val="22"/>
                    </w:rPr>
                  </w:pPr>
                  <w:r w:rsidRPr="00E56083">
                    <w:rPr>
                      <w:rFonts w:ascii="Calibri" w:hAnsi="Calibri" w:cs="Calibri"/>
                      <w:color w:val="000000"/>
                      <w:sz w:val="22"/>
                      <w:szCs w:val="22"/>
                    </w:rPr>
                    <w:t>Stálý měsíční plat za přistavenou kapacitu</w:t>
                  </w:r>
                </w:p>
              </w:tc>
            </w:tr>
            <w:tr w:rsidR="00DD77FD" w:rsidRPr="00E56083" w:rsidTr="00DD77FD">
              <w:trPr>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DD77FD" w:rsidRPr="00E56083" w:rsidRDefault="00DD77FD" w:rsidP="00DD77FD">
                  <w:pPr>
                    <w:autoSpaceDE/>
                    <w:autoSpaceDN/>
                    <w:rPr>
                      <w:rFonts w:ascii="Calibri" w:hAnsi="Calibri" w:cs="Calibri"/>
                      <w:color w:val="000000"/>
                      <w:sz w:val="22"/>
                      <w:szCs w:val="22"/>
                    </w:rPr>
                  </w:pPr>
                  <w:r w:rsidRPr="00E56083">
                    <w:rPr>
                      <w:rFonts w:ascii="Calibri" w:hAnsi="Calibri" w:cs="Calibri"/>
                      <w:color w:val="000000"/>
                      <w:sz w:val="22"/>
                      <w:szCs w:val="22"/>
                    </w:rPr>
                    <w:t>GG01</w:t>
                  </w:r>
                  <w:r>
                    <w:rPr>
                      <w:rFonts w:ascii="Calibri" w:hAnsi="Calibri" w:cs="Calibri"/>
                      <w:color w:val="000000"/>
                      <w:sz w:val="22"/>
                      <w:szCs w:val="22"/>
                    </w:rPr>
                    <w:t>9</w:t>
                  </w:r>
                </w:p>
              </w:tc>
              <w:tc>
                <w:tcPr>
                  <w:tcW w:w="6121" w:type="dxa"/>
                  <w:tcBorders>
                    <w:top w:val="nil"/>
                    <w:left w:val="nil"/>
                    <w:bottom w:val="single" w:sz="4" w:space="0" w:color="auto"/>
                    <w:right w:val="single" w:sz="4" w:space="0" w:color="auto"/>
                  </w:tcBorders>
                  <w:shd w:val="clear" w:color="auto" w:fill="auto"/>
                  <w:noWrap/>
                  <w:vAlign w:val="center"/>
                  <w:hideMark/>
                </w:tcPr>
                <w:p w:rsidR="00DD77FD" w:rsidRPr="00E56083" w:rsidRDefault="00DD77FD" w:rsidP="00870D66">
                  <w:pPr>
                    <w:autoSpaceDE/>
                    <w:autoSpaceDN/>
                    <w:rPr>
                      <w:rFonts w:ascii="Calibri" w:hAnsi="Calibri" w:cs="Calibri"/>
                      <w:color w:val="000000"/>
                      <w:sz w:val="22"/>
                      <w:szCs w:val="22"/>
                    </w:rPr>
                  </w:pPr>
                  <w:r>
                    <w:rPr>
                      <w:rFonts w:ascii="Calibri" w:hAnsi="Calibri" w:cs="Calibri"/>
                      <w:color w:val="000000"/>
                      <w:sz w:val="22"/>
                      <w:szCs w:val="22"/>
                    </w:rPr>
                    <w:t>Záloha</w:t>
                  </w:r>
                </w:p>
              </w:tc>
            </w:tr>
          </w:tbl>
          <w:p w:rsidR="0051727F" w:rsidRDefault="0051727F" w:rsidP="00870D66">
            <w:pPr>
              <w:pStyle w:val="Texttabulky"/>
              <w:rPr>
                <w:highlight w:val="white"/>
              </w:rPr>
            </w:pPr>
          </w:p>
          <w:p w:rsidR="0051727F" w:rsidRDefault="0051727F" w:rsidP="00870D66">
            <w:pPr>
              <w:pStyle w:val="Texttabulky"/>
              <w:spacing w:before="0" w:after="0"/>
              <w:rPr>
                <w:highlight w:val="white"/>
              </w:rPr>
            </w:pPr>
          </w:p>
        </w:tc>
      </w:tr>
    </w:tbl>
    <w:p w:rsidR="0051727F" w:rsidRDefault="0051727F" w:rsidP="0051727F">
      <w:pPr>
        <w:pStyle w:val="Titulek"/>
        <w:spacing w:after="240"/>
        <w:ind w:left="1138"/>
        <w:jc w:val="center"/>
      </w:pPr>
      <w:bookmarkStart w:id="41" w:name="_Toc280544971"/>
      <w:r>
        <w:t xml:space="preserve">Tabulka </w:t>
      </w:r>
      <w:r>
        <w:fldChar w:fldCharType="begin"/>
      </w:r>
      <w:r>
        <w:instrText xml:space="preserve"> SEQ Tabulka \* ARABIC </w:instrText>
      </w:r>
      <w:r>
        <w:fldChar w:fldCharType="separate"/>
      </w:r>
      <w:r>
        <w:rPr>
          <w:noProof/>
        </w:rPr>
        <w:t>11</w:t>
      </w:r>
      <w:r>
        <w:fldChar w:fldCharType="end"/>
      </w:r>
      <w:r>
        <w:t>: Element BillingItem</w:t>
      </w:r>
      <w:bookmarkEnd w:id="41"/>
    </w:p>
    <w:p w:rsidR="0051727F" w:rsidRDefault="0051727F" w:rsidP="0051727F">
      <w:pPr>
        <w:rPr>
          <w:highlight w:val="white"/>
        </w:rPr>
      </w:pP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highlight w:val="white"/>
              </w:rPr>
            </w:pPr>
            <w:r>
              <w:rPr>
                <w:b/>
              </w:rPr>
              <w:t>Element</w:t>
            </w:r>
          </w:p>
        </w:tc>
        <w:tc>
          <w:tcPr>
            <w:tcW w:w="567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BaseItemDetail</w:t>
            </w:r>
          </w:p>
        </w:tc>
        <w:tc>
          <w:tcPr>
            <w:tcW w:w="5670" w:type="dxa"/>
          </w:tcPr>
          <w:p w:rsidR="0051727F" w:rsidRDefault="0051727F" w:rsidP="00870D66">
            <w:pPr>
              <w:pStyle w:val="Texttabulky"/>
              <w:spacing w:before="0" w:after="0"/>
              <w:rPr>
                <w:highlight w:val="white"/>
              </w:rPr>
            </w:pPr>
            <w:r>
              <w:rPr>
                <w:highlight w:val="white"/>
              </w:rPr>
              <w:t>Detail základu položky – obsahuje předmět položky – popis, množství, měrnou jednotku</w:t>
            </w:r>
          </w:p>
          <w:p w:rsidR="0051727F" w:rsidRDefault="0051727F" w:rsidP="00870D66">
            <w:pPr>
              <w:pStyle w:val="Texttabulky"/>
              <w:spacing w:before="0" w:after="0"/>
              <w:rPr>
                <w:highlight w:val="white"/>
              </w:rPr>
            </w:pPr>
            <w:r>
              <w:rPr>
                <w:highlight w:val="white"/>
              </w:rPr>
              <w:t>Číselník měrných jednotek bude rozšířen o m3 a kWh/m3</w:t>
            </w:r>
          </w:p>
        </w:tc>
      </w:tr>
      <w:tr w:rsidR="0051727F" w:rsidTr="00870D66">
        <w:tc>
          <w:tcPr>
            <w:tcW w:w="1710" w:type="dxa"/>
          </w:tcPr>
          <w:p w:rsidR="0051727F" w:rsidRDefault="0051727F" w:rsidP="00870D66">
            <w:pPr>
              <w:pStyle w:val="Texttabulky"/>
              <w:spacing w:before="0" w:after="0"/>
              <w:rPr>
                <w:highlight w:val="white"/>
              </w:rPr>
            </w:pPr>
            <w:r>
              <w:rPr>
                <w:highlight w:val="white"/>
              </w:rPr>
              <w:t>PricingDetail</w:t>
            </w:r>
          </w:p>
        </w:tc>
        <w:tc>
          <w:tcPr>
            <w:tcW w:w="5670" w:type="dxa"/>
          </w:tcPr>
          <w:p w:rsidR="0051727F" w:rsidRDefault="0051727F" w:rsidP="00870D66">
            <w:pPr>
              <w:pStyle w:val="Texttabulky"/>
              <w:spacing w:before="0" w:after="0"/>
              <w:rPr>
                <w:highlight w:val="white"/>
              </w:rPr>
            </w:pPr>
            <w:r>
              <w:rPr>
                <w:highlight w:val="white"/>
              </w:rPr>
              <w:t>Detail ocenění položky – obsahuje jednotkovou cenu, položky daně, celkovou cenu za položku. (Položky daně nebudou vyplněné v případě, kdy je daň vyčíslena celkově).</w:t>
            </w:r>
          </w:p>
        </w:tc>
      </w:tr>
      <w:tr w:rsidR="0051727F" w:rsidTr="00870D66">
        <w:tc>
          <w:tcPr>
            <w:tcW w:w="1710" w:type="dxa"/>
          </w:tcPr>
          <w:p w:rsidR="0051727F" w:rsidRDefault="0051727F" w:rsidP="00870D66">
            <w:pPr>
              <w:pStyle w:val="Texttabulky"/>
              <w:spacing w:before="0" w:after="0"/>
              <w:rPr>
                <w:highlight w:val="white"/>
              </w:rPr>
            </w:pPr>
            <w:r>
              <w:rPr>
                <w:highlight w:val="white"/>
              </w:rPr>
              <w:t>ItemDates</w:t>
            </w:r>
          </w:p>
        </w:tc>
        <w:tc>
          <w:tcPr>
            <w:tcW w:w="5670" w:type="dxa"/>
          </w:tcPr>
          <w:p w:rsidR="0051727F" w:rsidRDefault="0051727F" w:rsidP="00870D66">
            <w:pPr>
              <w:pStyle w:val="Texttabulky"/>
              <w:spacing w:before="0" w:after="0"/>
              <w:rPr>
                <w:highlight w:val="white"/>
              </w:rPr>
            </w:pPr>
            <w:r>
              <w:rPr>
                <w:highlight w:val="white"/>
              </w:rPr>
              <w:t xml:space="preserve">Data vztahující se k položce </w:t>
            </w:r>
          </w:p>
          <w:p w:rsidR="0051727F" w:rsidRDefault="0051727F" w:rsidP="00870D66">
            <w:pPr>
              <w:pStyle w:val="Texttabulky"/>
              <w:spacing w:before="0" w:after="0"/>
              <w:rPr>
                <w:highlight w:val="white"/>
              </w:rPr>
            </w:pPr>
            <w:r>
              <w:rPr>
                <w:highlight w:val="white"/>
              </w:rPr>
              <w:t>due-date - Datum splatnosti – použije se pro předpis zálohy</w:t>
            </w:r>
          </w:p>
          <w:p w:rsidR="0051727F" w:rsidRDefault="0051727F" w:rsidP="00870D66">
            <w:pPr>
              <w:pStyle w:val="Texttabulky"/>
              <w:spacing w:before="0" w:after="0"/>
              <w:rPr>
                <w:highlight w:val="white"/>
              </w:rPr>
            </w:pPr>
            <w:r>
              <w:rPr>
                <w:highlight w:val="white"/>
              </w:rPr>
              <w:t>payment-date – Datum platby – použije se pro zúčtované zálohy</w:t>
            </w:r>
          </w:p>
          <w:p w:rsidR="0051727F" w:rsidRDefault="0051727F" w:rsidP="00870D66">
            <w:pPr>
              <w:pStyle w:val="Texttabulky"/>
              <w:spacing w:before="0" w:after="0"/>
              <w:rPr>
                <w:highlight w:val="white"/>
              </w:rPr>
            </w:pPr>
            <w:r>
              <w:rPr>
                <w:highlight w:val="white"/>
              </w:rPr>
              <w:t>billing-period-from – Začátek zúčtovacího období</w:t>
            </w:r>
          </w:p>
          <w:p w:rsidR="0051727F" w:rsidRDefault="0051727F" w:rsidP="00870D66">
            <w:pPr>
              <w:pStyle w:val="Texttabulky"/>
              <w:spacing w:before="0" w:after="0"/>
              <w:rPr>
                <w:highlight w:val="white"/>
              </w:rPr>
            </w:pPr>
            <w:r>
              <w:rPr>
                <w:highlight w:val="white"/>
              </w:rPr>
              <w:t>billing-period-to – Konec zúčtovacího období</w:t>
            </w:r>
          </w:p>
          <w:p w:rsidR="0051727F" w:rsidRDefault="0051727F" w:rsidP="00870D66">
            <w:pPr>
              <w:pStyle w:val="Texttabulky"/>
              <w:spacing w:before="0" w:after="0"/>
              <w:rPr>
                <w:highlight w:val="white"/>
              </w:rPr>
            </w:pPr>
            <w:r>
              <w:rPr>
                <w:highlight w:val="white"/>
              </w:rPr>
              <w:lastRenderedPageBreak/>
              <w:t>- použije se pro specifikaci zúčtovacího období, např. u předpisu záloh aj.</w:t>
            </w:r>
          </w:p>
        </w:tc>
      </w:tr>
    </w:tbl>
    <w:p w:rsidR="0051727F" w:rsidRDefault="0051727F" w:rsidP="0051727F">
      <w:pPr>
        <w:pStyle w:val="Titulek"/>
        <w:spacing w:after="240"/>
        <w:ind w:left="1138"/>
        <w:jc w:val="center"/>
      </w:pPr>
      <w:bookmarkStart w:id="42" w:name="_Toc250047873"/>
      <w:bookmarkStart w:id="43" w:name="_Toc280544972"/>
      <w:r>
        <w:lastRenderedPageBreak/>
        <w:t xml:space="preserve">Tabulka </w:t>
      </w:r>
      <w:r>
        <w:fldChar w:fldCharType="begin"/>
      </w:r>
      <w:r>
        <w:instrText xml:space="preserve"> SEQ Tabulka \* ARABIC </w:instrText>
      </w:r>
      <w:r>
        <w:fldChar w:fldCharType="separate"/>
      </w:r>
      <w:r>
        <w:rPr>
          <w:noProof/>
        </w:rPr>
        <w:t>12</w:t>
      </w:r>
      <w:r>
        <w:fldChar w:fldCharType="end"/>
      </w:r>
      <w:r>
        <w:t>: BillingItem – dílčí elementy</w:t>
      </w:r>
      <w:bookmarkEnd w:id="43"/>
    </w:p>
    <w:p w:rsidR="0051727F" w:rsidRDefault="0051727F" w:rsidP="0051727F">
      <w:pPr>
        <w:pStyle w:val="Nadpis3"/>
        <w:ind w:left="0" w:firstLine="0"/>
        <w:rPr>
          <w:highlight w:val="white"/>
        </w:rPr>
      </w:pPr>
      <w:bookmarkStart w:id="44" w:name="_Toc280612937"/>
      <w:r>
        <w:rPr>
          <w:highlight w:val="white"/>
        </w:rPr>
        <w:t>SumItem - Data souhrnné dokladu</w:t>
      </w:r>
      <w:bookmarkEnd w:id="42"/>
      <w:bookmarkEnd w:id="44"/>
    </w:p>
    <w:p w:rsidR="0051727F" w:rsidRDefault="0051727F" w:rsidP="0051727F">
      <w:pPr>
        <w:rPr>
          <w:highlight w:val="white"/>
        </w:rPr>
      </w:pPr>
      <w:r>
        <w:rPr>
          <w:highlight w:val="white"/>
        </w:rPr>
        <w:t>Element item má atributy:</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highlight w:val="white"/>
              </w:rPr>
            </w:pPr>
            <w:r>
              <w:rPr>
                <w:b/>
              </w:rPr>
              <w:t>Atribut</w:t>
            </w:r>
          </w:p>
        </w:tc>
        <w:tc>
          <w:tcPr>
            <w:tcW w:w="567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item-type</w:t>
            </w:r>
          </w:p>
        </w:tc>
        <w:tc>
          <w:tcPr>
            <w:tcW w:w="5670" w:type="dxa"/>
          </w:tcPr>
          <w:p w:rsidR="0051727F" w:rsidRDefault="0051727F" w:rsidP="00870D66">
            <w:pPr>
              <w:pStyle w:val="Texttabulky"/>
              <w:spacing w:before="0" w:after="0"/>
              <w:rPr>
                <w:highlight w:val="white"/>
              </w:rPr>
            </w:pPr>
            <w:r>
              <w:rPr>
                <w:highlight w:val="white"/>
              </w:rPr>
              <w:t xml:space="preserve">Typ položky – aktuálně na úrovni souhrnné položky dokladu identifikován pouze typ „S01 – Regulované služby – celkově“. Tento typ se použije i pro předpis záloh, zúčtované zálohy, položky daňového dokladu pro přijaté platby. </w:t>
            </w:r>
          </w:p>
        </w:tc>
      </w:tr>
    </w:tbl>
    <w:p w:rsidR="0051727F" w:rsidRDefault="0051727F" w:rsidP="0051727F">
      <w:pPr>
        <w:pStyle w:val="Titulek"/>
        <w:spacing w:after="240"/>
        <w:ind w:left="1138"/>
        <w:jc w:val="center"/>
      </w:pPr>
      <w:bookmarkStart w:id="45" w:name="_Toc280544973"/>
      <w:r>
        <w:t xml:space="preserve">Tabulka </w:t>
      </w:r>
      <w:r>
        <w:fldChar w:fldCharType="begin"/>
      </w:r>
      <w:r>
        <w:instrText xml:space="preserve"> SEQ Tabulka \* ARABIC </w:instrText>
      </w:r>
      <w:r>
        <w:fldChar w:fldCharType="separate"/>
      </w:r>
      <w:r>
        <w:rPr>
          <w:noProof/>
        </w:rPr>
        <w:t>13</w:t>
      </w:r>
      <w:r>
        <w:fldChar w:fldCharType="end"/>
      </w:r>
      <w:r>
        <w:t>: Element SumItem</w:t>
      </w:r>
      <w:bookmarkEnd w:id="45"/>
    </w:p>
    <w:p w:rsidR="0051727F" w:rsidRDefault="0051727F" w:rsidP="0051727F">
      <w:pPr>
        <w:spacing w:before="120"/>
        <w:ind w:left="1138"/>
        <w:rPr>
          <w:highlight w:val="white"/>
        </w:rPr>
      </w:pPr>
      <w:r>
        <w:rPr>
          <w:highlight w:val="white"/>
        </w:rPr>
        <w:t>Data položky jsou členěna do následujících elementů.</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bCs/>
                <w:highlight w:val="white"/>
              </w:rPr>
            </w:pPr>
            <w:r>
              <w:rPr>
                <w:b/>
                <w:bCs/>
              </w:rPr>
              <w:t>Element</w:t>
            </w:r>
          </w:p>
        </w:tc>
        <w:tc>
          <w:tcPr>
            <w:tcW w:w="5670" w:type="dxa"/>
            <w:shd w:val="clear" w:color="auto" w:fill="C0C0C0"/>
            <w:vAlign w:val="center"/>
          </w:tcPr>
          <w:p w:rsidR="0051727F" w:rsidRDefault="0051727F" w:rsidP="00870D66">
            <w:pPr>
              <w:pStyle w:val="Texttabulky"/>
              <w:spacing w:before="0" w:after="0"/>
              <w:jc w:val="center"/>
              <w:rPr>
                <w:b/>
                <w:bCs/>
                <w:highlight w:val="white"/>
              </w:rPr>
            </w:pPr>
            <w:r>
              <w:rPr>
                <w:b/>
                <w:bCs/>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BaseItemDetail</w:t>
            </w:r>
          </w:p>
        </w:tc>
        <w:tc>
          <w:tcPr>
            <w:tcW w:w="5670" w:type="dxa"/>
          </w:tcPr>
          <w:p w:rsidR="0051727F" w:rsidRDefault="0051727F" w:rsidP="00870D66">
            <w:pPr>
              <w:pStyle w:val="Texttabulky"/>
              <w:spacing w:before="0" w:after="0"/>
              <w:rPr>
                <w:highlight w:val="white"/>
              </w:rPr>
            </w:pPr>
            <w:r>
              <w:rPr>
                <w:highlight w:val="white"/>
              </w:rPr>
              <w:t>Detail základu položky – obsahuje předmět položky – popis, (případně i množství, měrnou jednotku – zde to není obvykle relevantní)</w:t>
            </w:r>
          </w:p>
        </w:tc>
      </w:tr>
      <w:tr w:rsidR="0051727F" w:rsidTr="00870D66">
        <w:tc>
          <w:tcPr>
            <w:tcW w:w="1710" w:type="dxa"/>
          </w:tcPr>
          <w:p w:rsidR="0051727F" w:rsidRDefault="0051727F" w:rsidP="00870D66">
            <w:pPr>
              <w:pStyle w:val="Texttabulky"/>
              <w:spacing w:before="0" w:after="0"/>
              <w:rPr>
                <w:highlight w:val="white"/>
              </w:rPr>
            </w:pPr>
            <w:r>
              <w:rPr>
                <w:highlight w:val="white"/>
              </w:rPr>
              <w:t>SumItemPrice</w:t>
            </w:r>
          </w:p>
        </w:tc>
        <w:tc>
          <w:tcPr>
            <w:tcW w:w="5670" w:type="dxa"/>
          </w:tcPr>
          <w:p w:rsidR="0051727F" w:rsidRDefault="0051727F" w:rsidP="00870D66">
            <w:pPr>
              <w:pStyle w:val="Texttabulky"/>
              <w:spacing w:before="0" w:after="0"/>
              <w:rPr>
                <w:highlight w:val="white"/>
              </w:rPr>
            </w:pPr>
            <w:r>
              <w:rPr>
                <w:highlight w:val="white"/>
              </w:rPr>
              <w:t>Cena – hodnota bez daně (</w:t>
            </w:r>
            <w:r>
              <w:rPr>
                <w:i/>
                <w:highlight w:val="white"/>
              </w:rPr>
              <w:t>NetValue</w:t>
            </w:r>
            <w:r>
              <w:rPr>
                <w:highlight w:val="white"/>
              </w:rPr>
              <w:t>), daň (</w:t>
            </w:r>
            <w:r>
              <w:rPr>
                <w:i/>
                <w:highlight w:val="white"/>
              </w:rPr>
              <w:t>Tax</w:t>
            </w:r>
            <w:r>
              <w:rPr>
                <w:highlight w:val="white"/>
              </w:rPr>
              <w:t>),  hodnota s daní (</w:t>
            </w:r>
            <w:r>
              <w:rPr>
                <w:i/>
                <w:highlight w:val="white"/>
              </w:rPr>
              <w:t>GrossValue</w:t>
            </w:r>
            <w:r>
              <w:rPr>
                <w:highlight w:val="white"/>
              </w:rPr>
              <w:t xml:space="preserve">) </w:t>
            </w:r>
          </w:p>
        </w:tc>
      </w:tr>
    </w:tbl>
    <w:p w:rsidR="0051727F" w:rsidRDefault="0051727F" w:rsidP="0051727F">
      <w:pPr>
        <w:pStyle w:val="Titulek"/>
        <w:spacing w:after="240"/>
        <w:ind w:left="1138"/>
        <w:jc w:val="center"/>
      </w:pPr>
      <w:bookmarkStart w:id="46" w:name="_Toc250047874"/>
      <w:bookmarkStart w:id="47" w:name="_Toc280544974"/>
      <w:r>
        <w:t xml:space="preserve">Tabulka </w:t>
      </w:r>
      <w:r>
        <w:fldChar w:fldCharType="begin"/>
      </w:r>
      <w:r>
        <w:instrText xml:space="preserve"> SEQ Tabulka \* ARABIC </w:instrText>
      </w:r>
      <w:r>
        <w:fldChar w:fldCharType="separate"/>
      </w:r>
      <w:r>
        <w:rPr>
          <w:noProof/>
        </w:rPr>
        <w:t>14</w:t>
      </w:r>
      <w:r>
        <w:fldChar w:fldCharType="end"/>
      </w:r>
      <w:r>
        <w:t>: SumItem – dílčí elementy</w:t>
      </w:r>
      <w:bookmarkEnd w:id="47"/>
    </w:p>
    <w:p w:rsidR="0051727F" w:rsidRDefault="0051727F" w:rsidP="0051727F">
      <w:pPr>
        <w:rPr>
          <w:lang w:eastAsia="en-US"/>
        </w:rPr>
      </w:pPr>
    </w:p>
    <w:p w:rsidR="0051727F" w:rsidRDefault="0051727F" w:rsidP="0051727F">
      <w:pPr>
        <w:pStyle w:val="Nadpis3"/>
        <w:ind w:left="0" w:firstLine="0"/>
        <w:rPr>
          <w:highlight w:val="white"/>
        </w:rPr>
      </w:pPr>
      <w:r>
        <w:rPr>
          <w:highlight w:val="white"/>
        </w:rPr>
        <w:t>PDTBlock - blok informací vztažených k OPM</w:t>
      </w:r>
    </w:p>
    <w:p w:rsidR="0051727F" w:rsidRDefault="0051727F" w:rsidP="0051727F">
      <w:pPr>
        <w:rPr>
          <w:highlight w:val="white"/>
        </w:rPr>
      </w:pPr>
      <w:r>
        <w:rPr>
          <w:highlight w:val="white"/>
        </w:rPr>
        <w:t>U PDTBlock bude mít tyto atributy:</w:t>
      </w:r>
    </w:p>
    <w:tbl>
      <w:tblPr>
        <w:tblW w:w="738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5670"/>
      </w:tblGrid>
      <w:tr w:rsidR="0051727F" w:rsidTr="00870D66">
        <w:trPr>
          <w:trHeight w:val="288"/>
        </w:trPr>
        <w:tc>
          <w:tcPr>
            <w:tcW w:w="1710" w:type="dxa"/>
            <w:shd w:val="clear" w:color="auto" w:fill="C0C0C0"/>
            <w:vAlign w:val="center"/>
          </w:tcPr>
          <w:p w:rsidR="0051727F" w:rsidRDefault="0051727F" w:rsidP="00870D66">
            <w:pPr>
              <w:pStyle w:val="Texttabulky"/>
              <w:spacing w:before="0" w:after="0"/>
              <w:jc w:val="center"/>
              <w:rPr>
                <w:b/>
                <w:highlight w:val="white"/>
              </w:rPr>
            </w:pPr>
            <w:r>
              <w:rPr>
                <w:b/>
              </w:rPr>
              <w:t>Atribut</w:t>
            </w:r>
          </w:p>
        </w:tc>
        <w:tc>
          <w:tcPr>
            <w:tcW w:w="5670" w:type="dxa"/>
            <w:shd w:val="clear" w:color="auto" w:fill="C0C0C0"/>
            <w:vAlign w:val="center"/>
          </w:tcPr>
          <w:p w:rsidR="0051727F" w:rsidRDefault="0051727F" w:rsidP="00870D66">
            <w:pPr>
              <w:pStyle w:val="Texttabulky"/>
              <w:spacing w:before="0" w:after="0"/>
              <w:jc w:val="center"/>
              <w:rPr>
                <w:b/>
                <w:highlight w:val="white"/>
              </w:rPr>
            </w:pPr>
            <w:r>
              <w:rPr>
                <w:b/>
              </w:rPr>
              <w:t>Popis</w:t>
            </w:r>
          </w:p>
        </w:tc>
      </w:tr>
      <w:tr w:rsidR="0051727F" w:rsidTr="00870D66">
        <w:tc>
          <w:tcPr>
            <w:tcW w:w="1710" w:type="dxa"/>
          </w:tcPr>
          <w:p w:rsidR="0051727F" w:rsidRDefault="0051727F" w:rsidP="00870D66">
            <w:pPr>
              <w:pStyle w:val="Texttabulky"/>
              <w:spacing w:before="0" w:after="0"/>
              <w:rPr>
                <w:highlight w:val="white"/>
              </w:rPr>
            </w:pPr>
            <w:r>
              <w:rPr>
                <w:highlight w:val="white"/>
              </w:rPr>
              <w:t>PDT-id</w:t>
            </w:r>
          </w:p>
        </w:tc>
        <w:tc>
          <w:tcPr>
            <w:tcW w:w="5670" w:type="dxa"/>
          </w:tcPr>
          <w:p w:rsidR="0051727F" w:rsidRDefault="0051727F" w:rsidP="00870D66">
            <w:pPr>
              <w:pStyle w:val="Texttabulky"/>
              <w:spacing w:before="0" w:after="0"/>
              <w:rPr>
                <w:highlight w:val="white"/>
              </w:rPr>
            </w:pPr>
            <w:r>
              <w:rPr>
                <w:highlight w:val="white"/>
              </w:rPr>
              <w:t>ID OPM (EIC)</w:t>
            </w:r>
          </w:p>
        </w:tc>
      </w:tr>
      <w:tr w:rsidR="0051727F" w:rsidTr="00870D66">
        <w:tc>
          <w:tcPr>
            <w:tcW w:w="1710" w:type="dxa"/>
          </w:tcPr>
          <w:p w:rsidR="0051727F" w:rsidRDefault="0051727F" w:rsidP="00870D66">
            <w:pPr>
              <w:pStyle w:val="Texttabulky"/>
              <w:spacing w:before="0" w:after="0"/>
              <w:rPr>
                <w:highlight w:val="white"/>
              </w:rPr>
            </w:pPr>
            <w:r>
              <w:rPr>
                <w:highlight w:val="white"/>
              </w:rPr>
              <w:t>Premise-id</w:t>
            </w:r>
          </w:p>
        </w:tc>
        <w:tc>
          <w:tcPr>
            <w:tcW w:w="5670" w:type="dxa"/>
          </w:tcPr>
          <w:p w:rsidR="0051727F" w:rsidRDefault="0051727F" w:rsidP="00870D66">
            <w:pPr>
              <w:pStyle w:val="Texttabulky"/>
              <w:spacing w:before="0" w:after="0"/>
              <w:rPr>
                <w:highlight w:val="white"/>
              </w:rPr>
            </w:pPr>
            <w:r>
              <w:rPr>
                <w:highlight w:val="white"/>
              </w:rPr>
              <w:t>Id místa spotřeby, nepovinný atribut</w:t>
            </w:r>
          </w:p>
        </w:tc>
      </w:tr>
      <w:tr w:rsidR="0051727F" w:rsidTr="00870D66">
        <w:tc>
          <w:tcPr>
            <w:tcW w:w="1710" w:type="dxa"/>
          </w:tcPr>
          <w:p w:rsidR="0051727F" w:rsidRDefault="0051727F" w:rsidP="00870D66">
            <w:pPr>
              <w:pStyle w:val="Texttabulky"/>
              <w:spacing w:before="0" w:after="0"/>
              <w:rPr>
                <w:highlight w:val="white"/>
              </w:rPr>
            </w:pPr>
            <w:r>
              <w:rPr>
                <w:highlight w:val="white"/>
              </w:rPr>
              <w:t>Rate</w:t>
            </w:r>
          </w:p>
        </w:tc>
        <w:tc>
          <w:tcPr>
            <w:tcW w:w="5670" w:type="dxa"/>
          </w:tcPr>
          <w:p w:rsidR="0051727F" w:rsidRDefault="0051727F" w:rsidP="00870D66">
            <w:pPr>
              <w:pStyle w:val="Texttabulky"/>
              <w:spacing w:before="0" w:after="0"/>
              <w:rPr>
                <w:highlight w:val="white"/>
              </w:rPr>
            </w:pPr>
            <w:r>
              <w:rPr>
                <w:highlight w:val="white"/>
              </w:rPr>
              <w:t>Sazba – bude nastaven jako nepovinný</w:t>
            </w:r>
          </w:p>
        </w:tc>
      </w:tr>
      <w:tr w:rsidR="0051727F" w:rsidTr="00870D66">
        <w:tc>
          <w:tcPr>
            <w:tcW w:w="1710" w:type="dxa"/>
          </w:tcPr>
          <w:p w:rsidR="0051727F" w:rsidRDefault="0051727F" w:rsidP="00870D66">
            <w:pPr>
              <w:pStyle w:val="Texttabulky"/>
              <w:spacing w:before="0" w:after="0"/>
              <w:rPr>
                <w:highlight w:val="white"/>
              </w:rPr>
            </w:pPr>
            <w:r>
              <w:rPr>
                <w:highlight w:val="white"/>
              </w:rPr>
              <w:t>TDD-class</w:t>
            </w:r>
          </w:p>
        </w:tc>
        <w:tc>
          <w:tcPr>
            <w:tcW w:w="5670" w:type="dxa"/>
          </w:tcPr>
          <w:p w:rsidR="0051727F" w:rsidRDefault="0051727F" w:rsidP="00870D66">
            <w:pPr>
              <w:pStyle w:val="Texttabulky"/>
              <w:spacing w:before="0" w:after="0"/>
              <w:rPr>
                <w:highlight w:val="white"/>
              </w:rPr>
            </w:pPr>
            <w:r>
              <w:rPr>
                <w:highlight w:val="white"/>
              </w:rPr>
              <w:t>Třída TDD</w:t>
            </w:r>
          </w:p>
        </w:tc>
      </w:tr>
      <w:tr w:rsidR="0051727F" w:rsidTr="00870D66">
        <w:tc>
          <w:tcPr>
            <w:tcW w:w="1710" w:type="dxa"/>
          </w:tcPr>
          <w:p w:rsidR="0051727F" w:rsidRDefault="0051727F" w:rsidP="00870D66">
            <w:pPr>
              <w:pStyle w:val="Texttabulky"/>
              <w:spacing w:before="0" w:after="0"/>
              <w:rPr>
                <w:highlight w:val="white"/>
              </w:rPr>
            </w:pPr>
            <w:r>
              <w:rPr>
                <w:highlight w:val="white"/>
              </w:rPr>
              <w:t>Cons-band</w:t>
            </w:r>
          </w:p>
        </w:tc>
        <w:tc>
          <w:tcPr>
            <w:tcW w:w="5670" w:type="dxa"/>
          </w:tcPr>
          <w:p w:rsidR="0051727F" w:rsidRDefault="0051727F" w:rsidP="00870D66">
            <w:pPr>
              <w:pStyle w:val="Texttabulky"/>
              <w:spacing w:before="0" w:after="0"/>
              <w:rPr>
                <w:highlight w:val="white"/>
              </w:rPr>
            </w:pPr>
            <w:r>
              <w:rPr>
                <w:highlight w:val="white"/>
              </w:rPr>
              <w:t>Spotřeba pro zařazení do pásma</w:t>
            </w:r>
          </w:p>
        </w:tc>
      </w:tr>
      <w:tr w:rsidR="0051727F" w:rsidTr="00870D66">
        <w:tc>
          <w:tcPr>
            <w:tcW w:w="1710" w:type="dxa"/>
          </w:tcPr>
          <w:p w:rsidR="0051727F" w:rsidRDefault="0051727F" w:rsidP="00870D66">
            <w:pPr>
              <w:pStyle w:val="Texttabulky"/>
              <w:spacing w:before="0" w:after="0"/>
              <w:rPr>
                <w:highlight w:val="white"/>
              </w:rPr>
            </w:pPr>
            <w:r>
              <w:rPr>
                <w:highlight w:val="white"/>
              </w:rPr>
              <w:t>DGI-id</w:t>
            </w:r>
          </w:p>
        </w:tc>
        <w:tc>
          <w:tcPr>
            <w:tcW w:w="5670" w:type="dxa"/>
          </w:tcPr>
          <w:p w:rsidR="0051727F" w:rsidRDefault="0051727F" w:rsidP="00870D66">
            <w:pPr>
              <w:pStyle w:val="Texttabulky"/>
              <w:spacing w:before="0" w:after="0"/>
              <w:rPr>
                <w:highlight w:val="white"/>
              </w:rPr>
            </w:pPr>
            <w:r>
              <w:t>Číslo dokladu dílčí faktury</w:t>
            </w:r>
          </w:p>
        </w:tc>
      </w:tr>
    </w:tbl>
    <w:p w:rsidR="0051727F" w:rsidRDefault="0051727F" w:rsidP="0051727F">
      <w:pPr>
        <w:pStyle w:val="Titulek"/>
        <w:spacing w:after="240"/>
        <w:ind w:left="1138"/>
        <w:jc w:val="center"/>
      </w:pPr>
      <w:r>
        <w:t xml:space="preserve">Tabulka </w:t>
      </w:r>
      <w:r>
        <w:fldChar w:fldCharType="begin"/>
      </w:r>
      <w:r>
        <w:instrText xml:space="preserve"> SEQ Tabulka \* ARABIC </w:instrText>
      </w:r>
      <w:r>
        <w:fldChar w:fldCharType="separate"/>
      </w:r>
      <w:r>
        <w:rPr>
          <w:noProof/>
        </w:rPr>
        <w:t>13</w:t>
      </w:r>
      <w:r>
        <w:fldChar w:fldCharType="end"/>
      </w:r>
      <w:r>
        <w:t>: Element PDTBlock</w:t>
      </w:r>
    </w:p>
    <w:p w:rsidR="0051727F" w:rsidRDefault="0051727F" w:rsidP="0051727F">
      <w:pPr>
        <w:pStyle w:val="Texttabulky"/>
        <w:spacing w:before="0" w:after="0"/>
        <w:rPr>
          <w:highlight w:val="white"/>
        </w:rPr>
      </w:pPr>
      <w:r>
        <w:rPr>
          <w:highlight w:val="white"/>
        </w:rPr>
        <w:t>Dále element obsahuje tyto elementy:</w:t>
      </w:r>
    </w:p>
    <w:p w:rsidR="0051727F" w:rsidRDefault="0051727F" w:rsidP="0051727F">
      <w:pPr>
        <w:pStyle w:val="Texttabulky"/>
        <w:numPr>
          <w:ilvl w:val="0"/>
          <w:numId w:val="9"/>
        </w:numPr>
        <w:spacing w:before="0" w:after="0"/>
        <w:rPr>
          <w:highlight w:val="white"/>
        </w:rPr>
      </w:pPr>
      <w:r>
        <w:rPr>
          <w:highlight w:val="white"/>
        </w:rPr>
        <w:t>Adresní údaje – element Address</w:t>
      </w:r>
    </w:p>
    <w:p w:rsidR="0051727F" w:rsidRDefault="0051727F" w:rsidP="0051727F">
      <w:pPr>
        <w:pStyle w:val="Texttabulky"/>
        <w:numPr>
          <w:ilvl w:val="0"/>
          <w:numId w:val="9"/>
        </w:numPr>
        <w:spacing w:before="0" w:after="0"/>
        <w:rPr>
          <w:highlight w:val="white"/>
        </w:rPr>
      </w:pPr>
      <w:r>
        <w:rPr>
          <w:highlight w:val="white"/>
        </w:rPr>
        <w:t>Seznam položek zúčtování OPM – element ListOfBillingItems</w:t>
      </w:r>
    </w:p>
    <w:p w:rsidR="0051727F" w:rsidRDefault="0051727F" w:rsidP="0051727F">
      <w:pPr>
        <w:pStyle w:val="Texttabulky"/>
        <w:numPr>
          <w:ilvl w:val="0"/>
          <w:numId w:val="9"/>
        </w:numPr>
        <w:spacing w:before="0" w:after="0"/>
        <w:rPr>
          <w:highlight w:val="white"/>
        </w:rPr>
      </w:pPr>
      <w:r>
        <w:rPr>
          <w:highlight w:val="white"/>
        </w:rPr>
        <w:t>Údaje o majiteli / odběrateli  - element Party</w:t>
      </w:r>
    </w:p>
    <w:p w:rsidR="0051727F" w:rsidRDefault="0051727F" w:rsidP="0051727F">
      <w:pPr>
        <w:numPr>
          <w:ilvl w:val="0"/>
          <w:numId w:val="9"/>
        </w:numPr>
        <w:rPr>
          <w:lang w:eastAsia="en-US"/>
        </w:rPr>
      </w:pPr>
      <w:r>
        <w:rPr>
          <w:highlight w:val="white"/>
        </w:rPr>
        <w:t>Poznámka – PDTBlockNote</w:t>
      </w:r>
    </w:p>
    <w:p w:rsidR="0051727F" w:rsidRDefault="0051727F" w:rsidP="0051727F"/>
    <w:p w:rsidR="0051727F" w:rsidRDefault="0051727F" w:rsidP="0051727F">
      <w:r>
        <w:t>V rámci jednoho PDTBlock je možné uvést opakovaně element ListOfBiliingItems, přičemž každý blok bude označen jinou kategorií (items-category).</w:t>
      </w:r>
    </w:p>
    <w:p w:rsidR="0051727F" w:rsidRDefault="0051727F" w:rsidP="0051727F">
      <w:r>
        <w:t>Pro položky zúčtování se uvede items-category = INV, pro zúčtované zaplacené zálohy pak items-category=BBP. U zúčtovaných zaplacených záloh za OPM je pak možné uvést hodnotu celkové zálohy za OPM v rámci ListOfBillingItemsSubTotal (element BillingItem nebude uveden). Takto je možné sestavit seznam zaplacených záloh a fakturovaných částek podle OPM. (EIC / Fakturovaná částka / Zaplacená záloha).</w:t>
      </w:r>
    </w:p>
    <w:p w:rsidR="0051727F" w:rsidRPr="006A2277" w:rsidRDefault="0051727F" w:rsidP="0051727F">
      <w:pPr>
        <w:rPr>
          <w:lang w:eastAsia="en-US"/>
        </w:rPr>
      </w:pPr>
    </w:p>
    <w:p w:rsidR="0051727F" w:rsidRDefault="0051727F" w:rsidP="0051727F">
      <w:pPr>
        <w:pStyle w:val="Nadpis2"/>
        <w:ind w:left="0" w:firstLine="0"/>
        <w:rPr>
          <w:highlight w:val="white"/>
        </w:rPr>
      </w:pPr>
      <w:bookmarkStart w:id="48" w:name="_Toc280612938"/>
      <w:r>
        <w:rPr>
          <w:highlight w:val="white"/>
        </w:rPr>
        <w:lastRenderedPageBreak/>
        <w:t>Kontroly elektronické faktury v CDS</w:t>
      </w:r>
      <w:bookmarkEnd w:id="46"/>
      <w:bookmarkEnd w:id="48"/>
    </w:p>
    <w:p w:rsidR="0051727F" w:rsidRDefault="0051727F" w:rsidP="0051727F">
      <w:r>
        <w:t>Při zpracování zprávy CDSGASINVOICE v CDS budou provedeny následující kontroly:</w:t>
      </w:r>
    </w:p>
    <w:p w:rsidR="0051727F" w:rsidRDefault="0051727F" w:rsidP="0051727F">
      <w:pPr>
        <w:pStyle w:val="Tabletext"/>
        <w:numPr>
          <w:ilvl w:val="0"/>
          <w:numId w:val="6"/>
        </w:numPr>
        <w:tabs>
          <w:tab w:val="clear" w:pos="720"/>
          <w:tab w:val="num" w:pos="1418"/>
        </w:tabs>
        <w:spacing w:after="120"/>
        <w:ind w:left="1418" w:hanging="284"/>
        <w:jc w:val="both"/>
        <w:rPr>
          <w:sz w:val="23"/>
          <w:szCs w:val="23"/>
          <w:lang w:val="cs-CZ"/>
        </w:rPr>
      </w:pPr>
      <w:r>
        <w:rPr>
          <w:sz w:val="23"/>
          <w:szCs w:val="23"/>
          <w:lang w:val="cs-CZ"/>
        </w:rPr>
        <w:t>Kontrola jedinečnosti dokladu</w:t>
      </w:r>
    </w:p>
    <w:p w:rsidR="0051727F" w:rsidRDefault="0051727F" w:rsidP="0051727F">
      <w:pPr>
        <w:pStyle w:val="Tabletext"/>
        <w:tabs>
          <w:tab w:val="num" w:pos="1560"/>
        </w:tabs>
        <w:spacing w:after="120"/>
        <w:ind w:left="1560"/>
        <w:jc w:val="both"/>
        <w:rPr>
          <w:sz w:val="23"/>
          <w:szCs w:val="23"/>
          <w:lang w:val="cs-CZ"/>
        </w:rPr>
      </w:pPr>
      <w:r w:rsidRPr="004A21EE">
        <w:rPr>
          <w:sz w:val="23"/>
          <w:szCs w:val="23"/>
          <w:lang w:val="cs-CZ"/>
        </w:rPr>
        <w:t>V případ</w:t>
      </w:r>
      <w:r>
        <w:rPr>
          <w:sz w:val="23"/>
          <w:szCs w:val="23"/>
          <w:lang w:val="cs-CZ"/>
        </w:rPr>
        <w:t>ě opakovaného příjmu zprávy se s</w:t>
      </w:r>
      <w:r w:rsidRPr="004A21EE">
        <w:rPr>
          <w:sz w:val="23"/>
          <w:szCs w:val="23"/>
          <w:lang w:val="cs-CZ"/>
        </w:rPr>
        <w:t>hodnými atributy DOC-TYPE/DOC-ID/DOC-VER/DOC-ATN bude zpráva odmítnuta.</w:t>
      </w:r>
    </w:p>
    <w:p w:rsidR="0051727F" w:rsidRDefault="0051727F" w:rsidP="0051727F">
      <w:pPr>
        <w:pStyle w:val="Tabletext"/>
        <w:numPr>
          <w:ilvl w:val="0"/>
          <w:numId w:val="6"/>
        </w:numPr>
        <w:tabs>
          <w:tab w:val="clear" w:pos="720"/>
          <w:tab w:val="num" w:pos="1418"/>
        </w:tabs>
        <w:spacing w:after="120"/>
        <w:ind w:left="1418" w:hanging="284"/>
        <w:jc w:val="both"/>
        <w:rPr>
          <w:sz w:val="23"/>
          <w:szCs w:val="23"/>
          <w:lang w:val="cs-CZ"/>
        </w:rPr>
      </w:pPr>
      <w:r>
        <w:rPr>
          <w:sz w:val="23"/>
          <w:szCs w:val="23"/>
          <w:lang w:val="cs-CZ"/>
        </w:rPr>
        <w:t>Kontrola kompletnosti</w:t>
      </w:r>
    </w:p>
    <w:p w:rsidR="0051727F" w:rsidRDefault="0051727F" w:rsidP="0051727F">
      <w:pPr>
        <w:pStyle w:val="Tabletext"/>
        <w:tabs>
          <w:tab w:val="num" w:pos="1560"/>
        </w:tabs>
        <w:spacing w:after="120"/>
        <w:ind w:left="1560"/>
        <w:jc w:val="both"/>
        <w:rPr>
          <w:sz w:val="23"/>
          <w:szCs w:val="23"/>
          <w:lang w:val="cs-CZ"/>
        </w:rPr>
      </w:pPr>
      <w:r>
        <w:rPr>
          <w:sz w:val="23"/>
          <w:szCs w:val="23"/>
          <w:lang w:val="cs-CZ"/>
        </w:rPr>
        <w:t>Při příjmu každé zprávy je provedena kontrola, zda je již kompletní seznam příloh k hlavnímu dokladu. V obou případech je o výsledku kontrloly vygenerována zpráva RESPONSE, která je odeslána odesilateli i příjemci.</w:t>
      </w:r>
    </w:p>
    <w:p w:rsidR="0051727F" w:rsidRDefault="0051727F" w:rsidP="0051727F">
      <w:pPr>
        <w:pStyle w:val="Tabletext"/>
        <w:numPr>
          <w:ilvl w:val="0"/>
          <w:numId w:val="6"/>
        </w:numPr>
        <w:tabs>
          <w:tab w:val="clear" w:pos="720"/>
          <w:tab w:val="num" w:pos="1418"/>
        </w:tabs>
        <w:spacing w:after="120"/>
        <w:ind w:left="1418" w:hanging="284"/>
        <w:jc w:val="both"/>
        <w:rPr>
          <w:sz w:val="23"/>
          <w:szCs w:val="23"/>
          <w:lang w:val="cs-CZ"/>
        </w:rPr>
      </w:pPr>
      <w:r>
        <w:rPr>
          <w:sz w:val="23"/>
          <w:szCs w:val="23"/>
          <w:lang w:val="cs-CZ"/>
        </w:rPr>
        <w:t>Kontrola kompletnosti výčtu OPM v elektronické faktuře proti přijatým POF  na OPM</w:t>
      </w:r>
    </w:p>
    <w:p w:rsidR="0051727F" w:rsidRDefault="0051727F" w:rsidP="0051727F">
      <w:pPr>
        <w:pStyle w:val="Tabletext"/>
        <w:tabs>
          <w:tab w:val="num" w:pos="1560"/>
        </w:tabs>
        <w:spacing w:after="120"/>
        <w:ind w:left="1560"/>
        <w:jc w:val="both"/>
        <w:rPr>
          <w:sz w:val="23"/>
          <w:szCs w:val="23"/>
          <w:lang w:val="cs-CZ"/>
        </w:rPr>
      </w:pPr>
      <w:r>
        <w:rPr>
          <w:sz w:val="23"/>
          <w:szCs w:val="23"/>
          <w:lang w:val="cs-CZ"/>
        </w:rPr>
        <w:t xml:space="preserve">Pro zprávy CDSGASINVOICE se provede kontrola bloku OPM (v XML </w:t>
      </w:r>
      <w:r>
        <w:rPr>
          <w:i/>
          <w:sz w:val="23"/>
          <w:szCs w:val="23"/>
          <w:lang w:val="cs-CZ"/>
        </w:rPr>
        <w:t>ListOfPDTBlocks</w:t>
      </w:r>
      <w:r>
        <w:rPr>
          <w:sz w:val="23"/>
          <w:szCs w:val="23"/>
          <w:lang w:val="cs-CZ"/>
        </w:rPr>
        <w:t>) proti seznamu obdržených zpráv POF. Výsledkem kontroly je informace, zda ke každému OPM v elektronické faktuře existuje v systému CDS zpráva POF s uvedeným identifikátorem čísla dokladu dílčí faktury (CDSGASPOF- head/attributes/number)</w:t>
      </w:r>
    </w:p>
    <w:p w:rsidR="0051727F" w:rsidRDefault="0051727F" w:rsidP="0051727F">
      <w:pPr>
        <w:pStyle w:val="Tabletext"/>
        <w:numPr>
          <w:ilvl w:val="0"/>
          <w:numId w:val="6"/>
        </w:numPr>
        <w:tabs>
          <w:tab w:val="clear" w:pos="720"/>
          <w:tab w:val="num" w:pos="1418"/>
        </w:tabs>
        <w:spacing w:after="120"/>
        <w:ind w:left="1418" w:hanging="284"/>
        <w:jc w:val="both"/>
        <w:rPr>
          <w:sz w:val="23"/>
          <w:szCs w:val="23"/>
          <w:lang w:val="cs-CZ"/>
        </w:rPr>
      </w:pPr>
      <w:r>
        <w:rPr>
          <w:sz w:val="23"/>
          <w:szCs w:val="23"/>
          <w:lang w:val="cs-CZ"/>
        </w:rPr>
        <w:t xml:space="preserve">Kontrola jednotlivých období v elektronické faktuře proti POF. </w:t>
      </w:r>
    </w:p>
    <w:p w:rsidR="0051727F" w:rsidRPr="00E56083" w:rsidRDefault="0051727F" w:rsidP="0051727F">
      <w:pPr>
        <w:pStyle w:val="Tabletext"/>
        <w:tabs>
          <w:tab w:val="num" w:pos="1560"/>
        </w:tabs>
        <w:spacing w:after="120"/>
        <w:ind w:left="1560"/>
        <w:jc w:val="both"/>
        <w:rPr>
          <w:sz w:val="23"/>
          <w:szCs w:val="23"/>
          <w:lang w:val="cs-CZ"/>
        </w:rPr>
      </w:pPr>
      <w:r w:rsidRPr="006A2277">
        <w:rPr>
          <w:sz w:val="23"/>
          <w:szCs w:val="23"/>
          <w:lang w:val="cs-CZ"/>
        </w:rPr>
        <w:t>Pro každý blok OPM se provede kontrola fakturačního období všech fakturačních položek (</w:t>
      </w:r>
      <w:r w:rsidRPr="006A2277">
        <w:rPr>
          <w:i/>
          <w:lang w:val="cs-CZ"/>
        </w:rPr>
        <w:t>BillingItem – ItemDates billing-period-start/ billing-period-end</w:t>
      </w:r>
      <w:r w:rsidRPr="006A2277">
        <w:rPr>
          <w:lang w:val="cs-CZ"/>
        </w:rPr>
        <w:t xml:space="preserve">) proti fakturačnímu odbobí ve zprávě POF </w:t>
      </w:r>
    </w:p>
    <w:p w:rsidR="0051727F" w:rsidRPr="006A2277" w:rsidRDefault="0051727F" w:rsidP="0051727F">
      <w:pPr>
        <w:pStyle w:val="Tabletext"/>
        <w:numPr>
          <w:ilvl w:val="0"/>
          <w:numId w:val="6"/>
        </w:numPr>
        <w:tabs>
          <w:tab w:val="clear" w:pos="720"/>
          <w:tab w:val="num" w:pos="1418"/>
        </w:tabs>
        <w:spacing w:after="120"/>
        <w:ind w:left="1418" w:hanging="283"/>
        <w:jc w:val="both"/>
        <w:rPr>
          <w:sz w:val="23"/>
          <w:szCs w:val="23"/>
          <w:lang w:val="cs-CZ"/>
        </w:rPr>
      </w:pPr>
      <w:r w:rsidRPr="006A2277">
        <w:rPr>
          <w:sz w:val="23"/>
          <w:szCs w:val="23"/>
          <w:lang w:val="cs-CZ"/>
        </w:rPr>
        <w:t>Kontrola zúčtované částky pro jednotlivá OPM vůči POF</w:t>
      </w:r>
    </w:p>
    <w:p w:rsidR="0051727F" w:rsidRDefault="0051727F" w:rsidP="0051727F">
      <w:pPr>
        <w:pStyle w:val="Tabletext"/>
        <w:tabs>
          <w:tab w:val="left" w:pos="1560"/>
          <w:tab w:val="num" w:pos="1701"/>
        </w:tabs>
        <w:spacing w:after="120"/>
        <w:ind w:left="1560"/>
        <w:jc w:val="both"/>
        <w:rPr>
          <w:sz w:val="23"/>
          <w:szCs w:val="23"/>
          <w:lang w:val="cs-CZ"/>
        </w:rPr>
      </w:pPr>
      <w:r w:rsidRPr="006A2277">
        <w:rPr>
          <w:sz w:val="23"/>
          <w:szCs w:val="23"/>
          <w:lang w:val="cs-CZ"/>
        </w:rPr>
        <w:t>Pro každý blok OPM se provede pro vybrané typy položek kontrola zúčtovaných celkových částek (</w:t>
      </w:r>
      <w:r w:rsidRPr="006A2277">
        <w:rPr>
          <w:i/>
          <w:sz w:val="23"/>
          <w:szCs w:val="23"/>
          <w:lang w:val="cs-CZ"/>
        </w:rPr>
        <w:t>BillingItem PricingDetail NetValue value</w:t>
      </w:r>
      <w:r w:rsidRPr="006A2277">
        <w:rPr>
          <w:sz w:val="23"/>
          <w:szCs w:val="23"/>
          <w:lang w:val="cs-CZ"/>
        </w:rPr>
        <w:t>) proti částkám v POF.</w:t>
      </w:r>
    </w:p>
    <w:p w:rsidR="0051727F" w:rsidRPr="00870D66" w:rsidRDefault="0051727F" w:rsidP="0051727F">
      <w:pPr>
        <w:pStyle w:val="Tabletext"/>
        <w:numPr>
          <w:ilvl w:val="0"/>
          <w:numId w:val="6"/>
        </w:numPr>
        <w:tabs>
          <w:tab w:val="clear" w:pos="720"/>
          <w:tab w:val="num" w:pos="1418"/>
        </w:tabs>
        <w:spacing w:after="120"/>
        <w:ind w:left="1418" w:hanging="283"/>
        <w:jc w:val="both"/>
        <w:rPr>
          <w:color w:val="000000"/>
          <w:sz w:val="23"/>
          <w:szCs w:val="23"/>
          <w:lang w:val="cs-CZ"/>
        </w:rPr>
      </w:pPr>
      <w:r w:rsidRPr="00870D66">
        <w:rPr>
          <w:color w:val="000000"/>
          <w:sz w:val="23"/>
          <w:szCs w:val="23"/>
          <w:lang w:val="cs-CZ"/>
        </w:rPr>
        <w:t>Kontrola na vyplnění elementu party v případě, kdy se jedná o daňový doklad (Tax relevancy =“YTN“)</w:t>
      </w:r>
    </w:p>
    <w:p w:rsidR="0051727F" w:rsidRDefault="0051727F" w:rsidP="0051727F">
      <w:pPr>
        <w:spacing w:before="120"/>
        <w:ind w:left="1138"/>
        <w:rPr>
          <w:highlight w:val="white"/>
        </w:rPr>
      </w:pPr>
      <w:bookmarkStart w:id="49" w:name="_GoBack"/>
      <w:bookmarkEnd w:id="49"/>
    </w:p>
    <w:p w:rsidR="0051727F" w:rsidRDefault="0051727F" w:rsidP="0051727F">
      <w:pPr>
        <w:pStyle w:val="Nadpis2"/>
        <w:ind w:left="0" w:firstLine="0"/>
        <w:rPr>
          <w:highlight w:val="white"/>
        </w:rPr>
      </w:pPr>
      <w:bookmarkStart w:id="50" w:name="_Toc250047875"/>
      <w:bookmarkStart w:id="51" w:name="_Toc280612939"/>
      <w:r>
        <w:rPr>
          <w:highlight w:val="white"/>
        </w:rPr>
        <w:t>Předávání výsledků kontrol pomocí RESPONSE</w:t>
      </w:r>
      <w:bookmarkEnd w:id="50"/>
      <w:bookmarkEnd w:id="51"/>
    </w:p>
    <w:p w:rsidR="0051727F" w:rsidRDefault="0051727F" w:rsidP="0051727F">
      <w:r>
        <w:t xml:space="preserve">V případě, že provedení výše uvedených kontrol nezjistí chybu, bude odesílateli (PDS) i příjemci (obchodník) zaslána </w:t>
      </w:r>
    </w:p>
    <w:p w:rsidR="0051727F" w:rsidRDefault="0051727F" w:rsidP="0051727F">
      <w:pPr>
        <w:numPr>
          <w:ilvl w:val="0"/>
          <w:numId w:val="7"/>
        </w:numPr>
        <w:tabs>
          <w:tab w:val="clear" w:pos="720"/>
          <w:tab w:val="num" w:pos="1701"/>
        </w:tabs>
        <w:autoSpaceDE/>
        <w:autoSpaceDN/>
        <w:ind w:left="1701" w:hanging="283"/>
        <w:jc w:val="both"/>
      </w:pPr>
      <w:r>
        <w:t>Zpráva typu GASRESPONSE s msg code GP8, s druhem odpovědi  Přijato bez výhrad (</w:t>
      </w:r>
      <w:r>
        <w:rPr>
          <w:i/>
        </w:rPr>
        <w:t>Reason type = A03</w:t>
      </w:r>
      <w:r>
        <w:t>).</w:t>
      </w:r>
    </w:p>
    <w:p w:rsidR="0051727F" w:rsidRDefault="0051727F" w:rsidP="0051727F"/>
    <w:p w:rsidR="0051727F" w:rsidRDefault="0051727F" w:rsidP="0051727F">
      <w:r>
        <w:t xml:space="preserve">V případě, že provedení výše uvedených kontrol zjistí chybu, bude odesílateli (PDS) i příjemci (obchodník) zaslána </w:t>
      </w:r>
    </w:p>
    <w:p w:rsidR="0051727F" w:rsidRDefault="0051727F" w:rsidP="0051727F">
      <w:pPr>
        <w:numPr>
          <w:ilvl w:val="0"/>
          <w:numId w:val="7"/>
        </w:numPr>
        <w:tabs>
          <w:tab w:val="clear" w:pos="720"/>
          <w:tab w:val="num" w:pos="1701"/>
        </w:tabs>
        <w:autoSpaceDE/>
        <w:autoSpaceDN/>
        <w:ind w:left="1701" w:hanging="283"/>
        <w:jc w:val="both"/>
      </w:pPr>
      <w:r>
        <w:t>Zpráva typu GASRESPONSE s msg code GP8, s druhem odpovědi Přijato s výhradou (</w:t>
      </w:r>
      <w:r>
        <w:rPr>
          <w:i/>
        </w:rPr>
        <w:t>Reason type = A04</w:t>
      </w:r>
      <w:r>
        <w:t>). Pro každé OPM, u kterého byla identifikována chyba bude ve zprávě vyplněn jeden element Reason. ID OPM bude uvedeno atributu OPM-id (</w:t>
      </w:r>
      <w:r>
        <w:rPr>
          <w:i/>
        </w:rPr>
        <w:t>Reason OPM-id</w:t>
      </w:r>
      <w:r>
        <w:t xml:space="preserve">). </w:t>
      </w:r>
    </w:p>
    <w:p w:rsidR="0051727F" w:rsidRDefault="0051727F" w:rsidP="0051727F">
      <w:pPr>
        <w:rPr>
          <w:highlight w:val="white"/>
        </w:rPr>
      </w:pPr>
    </w:p>
    <w:p w:rsidR="0051727F" w:rsidRDefault="0051727F" w:rsidP="0051727F">
      <w:pPr>
        <w:pStyle w:val="Nadpis2"/>
        <w:ind w:left="0" w:firstLine="0"/>
        <w:rPr>
          <w:highlight w:val="white"/>
        </w:rPr>
      </w:pPr>
      <w:bookmarkStart w:id="52" w:name="_Toc250047876"/>
      <w:bookmarkStart w:id="53" w:name="_Toc280612940"/>
      <w:r>
        <w:rPr>
          <w:highlight w:val="white"/>
        </w:rPr>
        <w:t>Dotaz na elektronickou fakturu</w:t>
      </w:r>
      <w:bookmarkEnd w:id="52"/>
      <w:bookmarkEnd w:id="53"/>
    </w:p>
    <w:p w:rsidR="0051727F" w:rsidRDefault="0051727F" w:rsidP="0051727F">
      <w:pPr>
        <w:rPr>
          <w:highlight w:val="white"/>
        </w:rPr>
      </w:pPr>
      <w:r>
        <w:rPr>
          <w:highlight w:val="white"/>
        </w:rPr>
        <w:t>Dotaz na elektronickou fakturu se zasílá pomocí zprávy CDSGASREQ, msg code GP9.</w:t>
      </w:r>
    </w:p>
    <w:p w:rsidR="0051727F" w:rsidRDefault="0051727F" w:rsidP="0051727F">
      <w:pPr>
        <w:rPr>
          <w:highlight w:val="white"/>
        </w:rPr>
      </w:pPr>
      <w:r>
        <w:rPr>
          <w:highlight w:val="white"/>
        </w:rPr>
        <w:lastRenderedPageBreak/>
        <w:t>Pro specifikaci dotazu je možné použít následující atributy v elementu Location:</w:t>
      </w:r>
    </w:p>
    <w:tbl>
      <w:tblPr>
        <w:tblW w:w="7380" w:type="dxa"/>
        <w:jc w:val="center"/>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5850"/>
      </w:tblGrid>
      <w:tr w:rsidR="0051727F" w:rsidTr="00870D66">
        <w:trPr>
          <w:trHeight w:val="288"/>
          <w:jc w:val="center"/>
        </w:trPr>
        <w:tc>
          <w:tcPr>
            <w:tcW w:w="1530" w:type="dxa"/>
            <w:shd w:val="clear" w:color="auto" w:fill="C0C0C0"/>
            <w:vAlign w:val="center"/>
          </w:tcPr>
          <w:p w:rsidR="0051727F" w:rsidRDefault="0051727F" w:rsidP="00870D66">
            <w:pPr>
              <w:pStyle w:val="Texttabulky"/>
              <w:spacing w:before="0" w:after="0"/>
              <w:jc w:val="center"/>
              <w:rPr>
                <w:b/>
                <w:highlight w:val="white"/>
              </w:rPr>
            </w:pPr>
            <w:r>
              <w:rPr>
                <w:b/>
              </w:rPr>
              <w:t>Atribut</w:t>
            </w:r>
          </w:p>
        </w:tc>
        <w:tc>
          <w:tcPr>
            <w:tcW w:w="5850" w:type="dxa"/>
            <w:shd w:val="clear" w:color="auto" w:fill="C0C0C0"/>
            <w:vAlign w:val="center"/>
          </w:tcPr>
          <w:p w:rsidR="0051727F" w:rsidRDefault="0051727F" w:rsidP="00870D66">
            <w:pPr>
              <w:pStyle w:val="Texttabulky"/>
              <w:spacing w:before="0" w:after="0"/>
              <w:rPr>
                <w:b/>
                <w:highlight w:val="white"/>
              </w:rPr>
            </w:pPr>
            <w:r>
              <w:rPr>
                <w:b/>
              </w:rPr>
              <w:t>Popis</w:t>
            </w:r>
          </w:p>
        </w:tc>
      </w:tr>
      <w:tr w:rsidR="0051727F" w:rsidTr="00870D66">
        <w:trPr>
          <w:trHeight w:val="288"/>
          <w:jc w:val="center"/>
        </w:trPr>
        <w:tc>
          <w:tcPr>
            <w:tcW w:w="1530" w:type="dxa"/>
          </w:tcPr>
          <w:p w:rsidR="0051727F" w:rsidRDefault="0051727F" w:rsidP="00870D66">
            <w:pPr>
              <w:pStyle w:val="Texttabulky"/>
              <w:spacing w:before="0" w:after="0"/>
              <w:rPr>
                <w:highlight w:val="white"/>
              </w:rPr>
            </w:pPr>
            <w:r>
              <w:rPr>
                <w:highlight w:val="white"/>
              </w:rPr>
              <w:t>inv-sender</w:t>
            </w:r>
          </w:p>
        </w:tc>
        <w:tc>
          <w:tcPr>
            <w:tcW w:w="5850" w:type="dxa"/>
          </w:tcPr>
          <w:p w:rsidR="0051727F" w:rsidRDefault="0051727F" w:rsidP="00870D66">
            <w:pPr>
              <w:pStyle w:val="Texttabulky"/>
              <w:spacing w:before="0" w:after="0"/>
              <w:rPr>
                <w:highlight w:val="white"/>
              </w:rPr>
            </w:pPr>
            <w:r>
              <w:rPr>
                <w:highlight w:val="white"/>
              </w:rPr>
              <w:t>Odesílatel elektronické faktury (EAN 13)</w:t>
            </w:r>
          </w:p>
        </w:tc>
      </w:tr>
      <w:tr w:rsidR="0051727F" w:rsidTr="00870D66">
        <w:trPr>
          <w:trHeight w:val="288"/>
          <w:jc w:val="center"/>
        </w:trPr>
        <w:tc>
          <w:tcPr>
            <w:tcW w:w="1530" w:type="dxa"/>
          </w:tcPr>
          <w:p w:rsidR="0051727F" w:rsidRDefault="0051727F" w:rsidP="00870D66">
            <w:pPr>
              <w:pStyle w:val="Texttabulky"/>
              <w:spacing w:before="0" w:after="0"/>
              <w:rPr>
                <w:highlight w:val="white"/>
              </w:rPr>
            </w:pPr>
            <w:r>
              <w:rPr>
                <w:highlight w:val="white"/>
              </w:rPr>
              <w:t>inv-type</w:t>
            </w:r>
          </w:p>
        </w:tc>
        <w:tc>
          <w:tcPr>
            <w:tcW w:w="5850" w:type="dxa"/>
          </w:tcPr>
          <w:p w:rsidR="0051727F" w:rsidRDefault="0051727F" w:rsidP="00870D66">
            <w:pPr>
              <w:pStyle w:val="Texttabulky"/>
              <w:spacing w:before="0" w:after="0"/>
              <w:rPr>
                <w:highlight w:val="white"/>
              </w:rPr>
            </w:pPr>
            <w:r>
              <w:rPr>
                <w:highlight w:val="white"/>
              </w:rPr>
              <w:t>Typ dokladu elektronické faktury - vyhledá doklad podle atributu CDSGASINVOICE / DocumentEnvelope / Document / doc-type</w:t>
            </w:r>
          </w:p>
        </w:tc>
      </w:tr>
      <w:tr w:rsidR="0051727F" w:rsidTr="00870D66">
        <w:trPr>
          <w:trHeight w:val="288"/>
          <w:jc w:val="center"/>
        </w:trPr>
        <w:tc>
          <w:tcPr>
            <w:tcW w:w="1530" w:type="dxa"/>
          </w:tcPr>
          <w:p w:rsidR="0051727F" w:rsidRDefault="0051727F" w:rsidP="00870D66">
            <w:pPr>
              <w:pStyle w:val="Texttabulky"/>
              <w:spacing w:before="0" w:after="0"/>
              <w:rPr>
                <w:highlight w:val="white"/>
              </w:rPr>
            </w:pPr>
            <w:r>
              <w:rPr>
                <w:highlight w:val="white"/>
              </w:rPr>
              <w:t>inv-doc-id</w:t>
            </w:r>
          </w:p>
        </w:tc>
        <w:tc>
          <w:tcPr>
            <w:tcW w:w="5850" w:type="dxa"/>
          </w:tcPr>
          <w:p w:rsidR="0051727F" w:rsidRDefault="0051727F" w:rsidP="00870D66">
            <w:pPr>
              <w:pStyle w:val="Texttabulky"/>
              <w:spacing w:before="0" w:after="0"/>
              <w:rPr>
                <w:highlight w:val="white"/>
              </w:rPr>
            </w:pPr>
            <w:r>
              <w:rPr>
                <w:highlight w:val="white"/>
              </w:rPr>
              <w:t>Číslo dokladu elektronické faktury - vyhledá doklad podle atributu CDSGASINVOICE / DocumentEnvelope / Document / doc-id</w:t>
            </w:r>
          </w:p>
        </w:tc>
      </w:tr>
    </w:tbl>
    <w:p w:rsidR="0051727F" w:rsidRDefault="0051727F" w:rsidP="0051727F">
      <w:pPr>
        <w:pStyle w:val="Titulek"/>
        <w:spacing w:after="240"/>
        <w:jc w:val="center"/>
      </w:pPr>
      <w:bookmarkStart w:id="54" w:name="_Toc280544976"/>
      <w:r>
        <w:t xml:space="preserve">Tabulka </w:t>
      </w:r>
      <w:r>
        <w:fldChar w:fldCharType="begin"/>
      </w:r>
      <w:r>
        <w:instrText xml:space="preserve"> SEQ Tabulka \* ARABIC </w:instrText>
      </w:r>
      <w:r>
        <w:fldChar w:fldCharType="separate"/>
      </w:r>
      <w:r>
        <w:rPr>
          <w:noProof/>
        </w:rPr>
        <w:t>16</w:t>
      </w:r>
      <w:r>
        <w:fldChar w:fldCharType="end"/>
      </w:r>
      <w:r>
        <w:t>: Atributy elementu Location</w:t>
      </w:r>
      <w:bookmarkEnd w:id="54"/>
    </w:p>
    <w:p w:rsidR="00BB3758" w:rsidRDefault="0051727F" w:rsidP="00BB3758">
      <w:r>
        <w:t>Dotaz vrací všechny zaslané doklady (dle výběrových kritérií) v jednotlivých verzích.</w:t>
      </w:r>
    </w:p>
    <w:p w:rsidR="00BB3758" w:rsidRDefault="00BB3758" w:rsidP="00BB3758"/>
    <w:p w:rsidR="0051727F" w:rsidRDefault="0051727F" w:rsidP="00BB3758">
      <w:pPr>
        <w:pStyle w:val="Podtitul"/>
      </w:pPr>
      <w:r>
        <w:t>Elektronická faktura (XML) OTE</w:t>
      </w:r>
    </w:p>
    <w:p w:rsidR="00BB3758" w:rsidRPr="00BB3758" w:rsidRDefault="00BB3758" w:rsidP="00BB3758"/>
    <w:p w:rsidR="0051727F" w:rsidRPr="00F36485" w:rsidRDefault="0051727F" w:rsidP="0051727F">
      <w:pPr>
        <w:rPr>
          <w:lang w:eastAsia="en-US"/>
        </w:rPr>
      </w:pPr>
      <w:r>
        <w:rPr>
          <w:lang w:eastAsia="en-US"/>
        </w:rPr>
        <w:t>V souvislosti se zavedením nového formátu CDSGASINVOICE budou daňové doklady týkající se plynu vystavené OTE účastníkům ve formátu CDSGASINVOICE. Struktura i obsah faktur zůstane stejný jako nyní (nyní se pro všechny faktury bez rozdílu komodity používá CDSINVOICE.</w:t>
      </w:r>
    </w:p>
    <w:p w:rsidR="00BB3758" w:rsidRDefault="00BB3758" w:rsidP="00BB3758">
      <w:pPr>
        <w:pStyle w:val="StyleNormalCloseAfter6pt"/>
      </w:pPr>
    </w:p>
    <w:p w:rsidR="0051727F" w:rsidRDefault="0051727F" w:rsidP="00BB3758">
      <w:pPr>
        <w:pStyle w:val="Podtitul"/>
      </w:pPr>
      <w:r>
        <w:t>Zobrazení elektronické faktury pomocí nástroje Prohlížeč XML faktur</w:t>
      </w:r>
    </w:p>
    <w:p w:rsidR="00BB3758" w:rsidRPr="00BB3758" w:rsidRDefault="00BB3758" w:rsidP="00BB3758"/>
    <w:p w:rsidR="0051727F" w:rsidRDefault="0051727F" w:rsidP="0051727F">
      <w:pPr>
        <w:pStyle w:val="StyleNormalCloseAfter6pt"/>
      </w:pPr>
      <w:r>
        <w:t xml:space="preserve">Nástroj Prohlížeč XML faktur, který je k dispozici ke stažení na veřejném webu OTE bude umožňovat i zobrazení elektronické agregované faktury pro plyn. </w:t>
      </w:r>
    </w:p>
    <w:p w:rsidR="00CD1463" w:rsidRDefault="00CD1463"/>
    <w:sectPr w:rsidR="00CD1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904DD20"/>
    <w:lvl w:ilvl="0">
      <w:start w:val="1"/>
      <w:numFmt w:val="decimal"/>
      <w:pStyle w:val="Nadpis1"/>
      <w:lvlText w:val="%1"/>
      <w:lvlJc w:val="left"/>
      <w:pPr>
        <w:tabs>
          <w:tab w:val="num" w:pos="0"/>
        </w:tabs>
        <w:ind w:left="0" w:firstLine="0"/>
      </w:pPr>
      <w:rPr>
        <w:rFonts w:hint="default"/>
      </w:rPr>
    </w:lvl>
    <w:lvl w:ilvl="1">
      <w:start w:val="1"/>
      <w:numFmt w:val="decimal"/>
      <w:pStyle w:val="Nadpis2"/>
      <w:lvlText w:val="%1.%2"/>
      <w:lvlJc w:val="left"/>
      <w:pPr>
        <w:tabs>
          <w:tab w:val="num" w:pos="0"/>
        </w:tabs>
        <w:ind w:left="0"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upperRoman"/>
      <w:pStyle w:val="Nadpis6"/>
      <w:lvlText w:val="Příloha %6"/>
      <w:lvlJc w:val="left"/>
      <w:pPr>
        <w:tabs>
          <w:tab w:val="num" w:pos="1800"/>
        </w:tabs>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
    <w:nsid w:val="23E65732"/>
    <w:multiLevelType w:val="hybridMultilevel"/>
    <w:tmpl w:val="AC32951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B564739"/>
    <w:multiLevelType w:val="hybridMultilevel"/>
    <w:tmpl w:val="4BC40EEA"/>
    <w:lvl w:ilvl="0" w:tplc="FFFFFFFF">
      <w:start w:val="1"/>
      <w:numFmt w:val="bullet"/>
      <w:lvlText w:val=""/>
      <w:lvlJc w:val="left"/>
      <w:pPr>
        <w:tabs>
          <w:tab w:val="num" w:pos="-392"/>
        </w:tabs>
        <w:ind w:left="-392" w:hanging="360"/>
      </w:pPr>
      <w:rPr>
        <w:rFonts w:ascii="Symbol" w:hAnsi="Symbol" w:hint="default"/>
      </w:rPr>
    </w:lvl>
    <w:lvl w:ilvl="1" w:tplc="FFFFFFFF" w:tentative="1">
      <w:start w:val="1"/>
      <w:numFmt w:val="bullet"/>
      <w:lvlText w:val="o"/>
      <w:lvlJc w:val="left"/>
      <w:pPr>
        <w:tabs>
          <w:tab w:val="num" w:pos="328"/>
        </w:tabs>
        <w:ind w:left="328" w:hanging="360"/>
      </w:pPr>
      <w:rPr>
        <w:rFonts w:ascii="Courier New" w:hAnsi="Courier New" w:cs="Courier New" w:hint="default"/>
      </w:rPr>
    </w:lvl>
    <w:lvl w:ilvl="2" w:tplc="FFFFFFFF" w:tentative="1">
      <w:start w:val="1"/>
      <w:numFmt w:val="bullet"/>
      <w:lvlText w:val=""/>
      <w:lvlJc w:val="left"/>
      <w:pPr>
        <w:tabs>
          <w:tab w:val="num" w:pos="1048"/>
        </w:tabs>
        <w:ind w:left="1048" w:hanging="360"/>
      </w:pPr>
      <w:rPr>
        <w:rFonts w:ascii="Wingdings" w:hAnsi="Wingdings" w:hint="default"/>
      </w:rPr>
    </w:lvl>
    <w:lvl w:ilvl="3" w:tplc="FFFFFFFF" w:tentative="1">
      <w:start w:val="1"/>
      <w:numFmt w:val="bullet"/>
      <w:lvlText w:val=""/>
      <w:lvlJc w:val="left"/>
      <w:pPr>
        <w:tabs>
          <w:tab w:val="num" w:pos="1768"/>
        </w:tabs>
        <w:ind w:left="1768" w:hanging="360"/>
      </w:pPr>
      <w:rPr>
        <w:rFonts w:ascii="Symbol" w:hAnsi="Symbol" w:hint="default"/>
      </w:rPr>
    </w:lvl>
    <w:lvl w:ilvl="4" w:tplc="FFFFFFFF" w:tentative="1">
      <w:start w:val="1"/>
      <w:numFmt w:val="bullet"/>
      <w:lvlText w:val="o"/>
      <w:lvlJc w:val="left"/>
      <w:pPr>
        <w:tabs>
          <w:tab w:val="num" w:pos="2488"/>
        </w:tabs>
        <w:ind w:left="2488" w:hanging="360"/>
      </w:pPr>
      <w:rPr>
        <w:rFonts w:ascii="Courier New" w:hAnsi="Courier New" w:cs="Courier New" w:hint="default"/>
      </w:rPr>
    </w:lvl>
    <w:lvl w:ilvl="5" w:tplc="FFFFFFFF" w:tentative="1">
      <w:start w:val="1"/>
      <w:numFmt w:val="bullet"/>
      <w:lvlText w:val=""/>
      <w:lvlJc w:val="left"/>
      <w:pPr>
        <w:tabs>
          <w:tab w:val="num" w:pos="3208"/>
        </w:tabs>
        <w:ind w:left="3208" w:hanging="360"/>
      </w:pPr>
      <w:rPr>
        <w:rFonts w:ascii="Wingdings" w:hAnsi="Wingdings" w:hint="default"/>
      </w:rPr>
    </w:lvl>
    <w:lvl w:ilvl="6" w:tplc="FFFFFFFF" w:tentative="1">
      <w:start w:val="1"/>
      <w:numFmt w:val="bullet"/>
      <w:lvlText w:val=""/>
      <w:lvlJc w:val="left"/>
      <w:pPr>
        <w:tabs>
          <w:tab w:val="num" w:pos="3928"/>
        </w:tabs>
        <w:ind w:left="3928" w:hanging="360"/>
      </w:pPr>
      <w:rPr>
        <w:rFonts w:ascii="Symbol" w:hAnsi="Symbol" w:hint="default"/>
      </w:rPr>
    </w:lvl>
    <w:lvl w:ilvl="7" w:tplc="FFFFFFFF" w:tentative="1">
      <w:start w:val="1"/>
      <w:numFmt w:val="bullet"/>
      <w:lvlText w:val="o"/>
      <w:lvlJc w:val="left"/>
      <w:pPr>
        <w:tabs>
          <w:tab w:val="num" w:pos="4648"/>
        </w:tabs>
        <w:ind w:left="4648" w:hanging="360"/>
      </w:pPr>
      <w:rPr>
        <w:rFonts w:ascii="Courier New" w:hAnsi="Courier New" w:cs="Courier New" w:hint="default"/>
      </w:rPr>
    </w:lvl>
    <w:lvl w:ilvl="8" w:tplc="FFFFFFFF" w:tentative="1">
      <w:start w:val="1"/>
      <w:numFmt w:val="bullet"/>
      <w:lvlText w:val=""/>
      <w:lvlJc w:val="left"/>
      <w:pPr>
        <w:tabs>
          <w:tab w:val="num" w:pos="5368"/>
        </w:tabs>
        <w:ind w:left="5368" w:hanging="360"/>
      </w:pPr>
      <w:rPr>
        <w:rFonts w:ascii="Wingdings" w:hAnsi="Wingdings" w:hint="default"/>
      </w:rPr>
    </w:lvl>
  </w:abstractNum>
  <w:abstractNum w:abstractNumId="3">
    <w:nsid w:val="46BA0608"/>
    <w:multiLevelType w:val="hybridMultilevel"/>
    <w:tmpl w:val="B1AA4A8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DFA4733"/>
    <w:multiLevelType w:val="hybridMultilevel"/>
    <w:tmpl w:val="529CBD7E"/>
    <w:lvl w:ilvl="0" w:tplc="0405000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53066181"/>
    <w:multiLevelType w:val="hybridMultilevel"/>
    <w:tmpl w:val="98D23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A455161"/>
    <w:multiLevelType w:val="hybridMultilevel"/>
    <w:tmpl w:val="929289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nsid w:val="7A416B44"/>
    <w:multiLevelType w:val="hybridMultilevel"/>
    <w:tmpl w:val="069AA700"/>
    <w:lvl w:ilvl="0" w:tplc="9454C396">
      <w:start w:val="1"/>
      <w:numFmt w:val="bullet"/>
      <w:lvlText w:val=""/>
      <w:lvlJc w:val="left"/>
      <w:pPr>
        <w:tabs>
          <w:tab w:val="num" w:pos="720"/>
        </w:tabs>
        <w:ind w:left="720" w:hanging="360"/>
      </w:pPr>
      <w:rPr>
        <w:rFonts w:ascii="Symbol" w:hAnsi="Symbol" w:hint="default"/>
      </w:rPr>
    </w:lvl>
    <w:lvl w:ilvl="1" w:tplc="0409000F">
      <w:start w:val="1"/>
      <w:numFmt w:val="bullet"/>
      <w:lvlText w:val="o"/>
      <w:lvlJc w:val="left"/>
      <w:pPr>
        <w:tabs>
          <w:tab w:val="num" w:pos="1440"/>
        </w:tabs>
        <w:ind w:left="1440" w:hanging="360"/>
      </w:pPr>
      <w:rPr>
        <w:rFonts w:ascii="Courier New" w:hAnsi="Courier New" w:cs="Courier New" w:hint="default"/>
      </w:rPr>
    </w:lvl>
    <w:lvl w:ilvl="2" w:tplc="04090017">
      <w:start w:val="1"/>
      <w:numFmt w:val="lowerLetter"/>
      <w:lvlText w:val="%3)"/>
      <w:lvlJc w:val="left"/>
      <w:pPr>
        <w:tabs>
          <w:tab w:val="num" w:pos="2160"/>
        </w:tabs>
        <w:ind w:left="2160" w:hanging="360"/>
      </w:pPr>
      <w:rPr>
        <w:rFonts w:hint="default"/>
      </w:rPr>
    </w:lvl>
    <w:lvl w:ilvl="3" w:tplc="C5AE372A" w:tentative="1">
      <w:start w:val="1"/>
      <w:numFmt w:val="bullet"/>
      <w:lvlText w:val=""/>
      <w:lvlJc w:val="left"/>
      <w:pPr>
        <w:tabs>
          <w:tab w:val="num" w:pos="2880"/>
        </w:tabs>
        <w:ind w:left="2880" w:hanging="360"/>
      </w:pPr>
      <w:rPr>
        <w:rFonts w:ascii="Symbol" w:hAnsi="Symbol" w:hint="default"/>
      </w:rPr>
    </w:lvl>
    <w:lvl w:ilvl="4" w:tplc="BE40372C" w:tentative="1">
      <w:start w:val="1"/>
      <w:numFmt w:val="bullet"/>
      <w:lvlText w:val="o"/>
      <w:lvlJc w:val="left"/>
      <w:pPr>
        <w:tabs>
          <w:tab w:val="num" w:pos="3600"/>
        </w:tabs>
        <w:ind w:left="3600" w:hanging="360"/>
      </w:pPr>
      <w:rPr>
        <w:rFonts w:ascii="Courier New" w:hAnsi="Courier New" w:cs="Courier New" w:hint="default"/>
      </w:rPr>
    </w:lvl>
    <w:lvl w:ilvl="5" w:tplc="1B6208A8" w:tentative="1">
      <w:start w:val="1"/>
      <w:numFmt w:val="bullet"/>
      <w:lvlText w:val=""/>
      <w:lvlJc w:val="left"/>
      <w:pPr>
        <w:tabs>
          <w:tab w:val="num" w:pos="4320"/>
        </w:tabs>
        <w:ind w:left="4320" w:hanging="360"/>
      </w:pPr>
      <w:rPr>
        <w:rFonts w:ascii="Wingdings" w:hAnsi="Wingdings" w:hint="default"/>
      </w:rPr>
    </w:lvl>
    <w:lvl w:ilvl="6" w:tplc="785CF1A4" w:tentative="1">
      <w:start w:val="1"/>
      <w:numFmt w:val="bullet"/>
      <w:lvlText w:val=""/>
      <w:lvlJc w:val="left"/>
      <w:pPr>
        <w:tabs>
          <w:tab w:val="num" w:pos="5040"/>
        </w:tabs>
        <w:ind w:left="5040" w:hanging="360"/>
      </w:pPr>
      <w:rPr>
        <w:rFonts w:ascii="Symbol" w:hAnsi="Symbol" w:hint="default"/>
      </w:rPr>
    </w:lvl>
    <w:lvl w:ilvl="7" w:tplc="A7201228" w:tentative="1">
      <w:start w:val="1"/>
      <w:numFmt w:val="bullet"/>
      <w:lvlText w:val="o"/>
      <w:lvlJc w:val="left"/>
      <w:pPr>
        <w:tabs>
          <w:tab w:val="num" w:pos="5760"/>
        </w:tabs>
        <w:ind w:left="5760" w:hanging="360"/>
      </w:pPr>
      <w:rPr>
        <w:rFonts w:ascii="Courier New" w:hAnsi="Courier New" w:cs="Courier New" w:hint="default"/>
      </w:rPr>
    </w:lvl>
    <w:lvl w:ilvl="8" w:tplc="F8C0708A" w:tentative="1">
      <w:start w:val="1"/>
      <w:numFmt w:val="bullet"/>
      <w:lvlText w:val=""/>
      <w:lvlJc w:val="left"/>
      <w:pPr>
        <w:tabs>
          <w:tab w:val="num" w:pos="6480"/>
        </w:tabs>
        <w:ind w:left="6480" w:hanging="360"/>
      </w:pPr>
      <w:rPr>
        <w:rFonts w:ascii="Wingdings" w:hAnsi="Wingdings" w:hint="default"/>
      </w:rPr>
    </w:lvl>
  </w:abstractNum>
  <w:abstractNum w:abstractNumId="8">
    <w:nsid w:val="7B280A84"/>
    <w:multiLevelType w:val="hybridMultilevel"/>
    <w:tmpl w:val="5B4E3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F2B7664"/>
    <w:multiLevelType w:val="hybridMultilevel"/>
    <w:tmpl w:val="674C49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9"/>
  </w:num>
  <w:num w:numId="6">
    <w:abstractNumId w:val="4"/>
  </w:num>
  <w:num w:numId="7">
    <w:abstractNumId w:val="3"/>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7F"/>
    <w:rsid w:val="0051727F"/>
    <w:rsid w:val="00897347"/>
    <w:rsid w:val="00BB3758"/>
    <w:rsid w:val="00CD1463"/>
    <w:rsid w:val="00DD77FD"/>
    <w:rsid w:val="00FC5C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727F"/>
    <w:pPr>
      <w:autoSpaceDE w:val="0"/>
      <w:autoSpaceDN w:val="0"/>
      <w:spacing w:after="0" w:line="240" w:lineRule="auto"/>
    </w:pPr>
    <w:rPr>
      <w:rFonts w:ascii="Times New Roman" w:eastAsia="Times New Roman" w:hAnsi="Times New Roman" w:cs="Times New Roman"/>
      <w:sz w:val="23"/>
      <w:szCs w:val="23"/>
      <w:lang w:eastAsia="cs-CZ"/>
    </w:rPr>
  </w:style>
  <w:style w:type="paragraph" w:styleId="Nadpis1">
    <w:name w:val="heading 1"/>
    <w:aliases w:val="t,H1"/>
    <w:basedOn w:val="Normln"/>
    <w:next w:val="Normln"/>
    <w:link w:val="Nadpis1Char"/>
    <w:qFormat/>
    <w:rsid w:val="0051727F"/>
    <w:pPr>
      <w:keepNext/>
      <w:keepLines/>
      <w:pageBreakBefore/>
      <w:numPr>
        <w:numId w:val="1"/>
      </w:numPr>
      <w:overflowPunct w:val="0"/>
      <w:adjustRightInd w:val="0"/>
      <w:spacing w:before="160" w:after="320"/>
      <w:jc w:val="both"/>
      <w:textAlignment w:val="baseline"/>
      <w:outlineLvl w:val="0"/>
    </w:pPr>
    <w:rPr>
      <w:b/>
      <w:sz w:val="28"/>
      <w:szCs w:val="20"/>
      <w:lang w:eastAsia="en-US"/>
    </w:rPr>
  </w:style>
  <w:style w:type="paragraph" w:styleId="Nadpis2">
    <w:name w:val="heading 2"/>
    <w:aliases w:val="2,sub-sect,21,sub-sect1,22,sub-sect2,23,sub-sect3,24,sub-sect4,25,sub-sect5,(1.1,1.2,1.3 etc),section header,h2,no section,H2,PA Major Section"/>
    <w:basedOn w:val="Normln"/>
    <w:next w:val="Normln"/>
    <w:link w:val="Nadpis2Char"/>
    <w:qFormat/>
    <w:rsid w:val="0051727F"/>
    <w:pPr>
      <w:keepNext/>
      <w:keepLines/>
      <w:numPr>
        <w:ilvl w:val="1"/>
        <w:numId w:val="1"/>
      </w:numPr>
      <w:overflowPunct w:val="0"/>
      <w:adjustRightInd w:val="0"/>
      <w:spacing w:before="120" w:after="300"/>
      <w:ind w:left="720" w:hanging="720"/>
      <w:jc w:val="both"/>
      <w:textAlignment w:val="baseline"/>
      <w:outlineLvl w:val="1"/>
    </w:pPr>
    <w:rPr>
      <w:b/>
      <w:sz w:val="28"/>
      <w:szCs w:val="20"/>
      <w:lang w:eastAsia="en-US"/>
    </w:rPr>
  </w:style>
  <w:style w:type="paragraph" w:styleId="Nadpis3">
    <w:name w:val="heading 3"/>
    <w:aliases w:val="h3,3,h31,31,h32,32,h33,33,h34,34,h35,35,sub-sub,sub-sub1,sub-sub2,sub-sub3,sub-sub4,sub section header,311,sub-sub11,subsect,Überschrift 3,H3,PA Minor Section"/>
    <w:basedOn w:val="Normln"/>
    <w:next w:val="Normln"/>
    <w:link w:val="Nadpis3Char"/>
    <w:qFormat/>
    <w:rsid w:val="0051727F"/>
    <w:pPr>
      <w:keepNext/>
      <w:keepLines/>
      <w:numPr>
        <w:ilvl w:val="2"/>
        <w:numId w:val="1"/>
      </w:numPr>
      <w:overflowPunct w:val="0"/>
      <w:adjustRightInd w:val="0"/>
      <w:spacing w:before="80" w:after="300"/>
      <w:ind w:left="720" w:hanging="720"/>
      <w:jc w:val="both"/>
      <w:textAlignment w:val="baseline"/>
      <w:outlineLvl w:val="2"/>
    </w:pPr>
    <w:rPr>
      <w:b/>
      <w:sz w:val="22"/>
      <w:szCs w:val="20"/>
      <w:lang w:eastAsia="en-US"/>
    </w:rPr>
  </w:style>
  <w:style w:type="paragraph" w:styleId="Nadpis4">
    <w:name w:val="heading 4"/>
    <w:aliases w:val="PA Micro Section,Schedules"/>
    <w:basedOn w:val="Normln"/>
    <w:next w:val="Normln"/>
    <w:link w:val="Nadpis4Char"/>
    <w:qFormat/>
    <w:rsid w:val="0051727F"/>
    <w:pPr>
      <w:keepNext/>
      <w:keepLines/>
      <w:numPr>
        <w:ilvl w:val="3"/>
        <w:numId w:val="1"/>
      </w:numPr>
      <w:overflowPunct w:val="0"/>
      <w:adjustRightInd w:val="0"/>
      <w:spacing w:before="40" w:after="300"/>
      <w:jc w:val="both"/>
      <w:textAlignment w:val="baseline"/>
      <w:outlineLvl w:val="3"/>
    </w:pPr>
    <w:rPr>
      <w:sz w:val="22"/>
      <w:szCs w:val="20"/>
      <w:lang w:eastAsia="en-US"/>
    </w:rPr>
  </w:style>
  <w:style w:type="paragraph" w:styleId="Nadpis5">
    <w:name w:val="heading 5"/>
    <w:basedOn w:val="Normln"/>
    <w:next w:val="Normln"/>
    <w:link w:val="Nadpis5Char"/>
    <w:qFormat/>
    <w:rsid w:val="0051727F"/>
    <w:pPr>
      <w:keepNext/>
      <w:keepLines/>
      <w:numPr>
        <w:ilvl w:val="4"/>
        <w:numId w:val="1"/>
      </w:numPr>
      <w:overflowPunct w:val="0"/>
      <w:adjustRightInd w:val="0"/>
      <w:spacing w:after="300"/>
      <w:jc w:val="both"/>
      <w:textAlignment w:val="baseline"/>
      <w:outlineLvl w:val="4"/>
    </w:pPr>
    <w:rPr>
      <w:sz w:val="22"/>
      <w:szCs w:val="20"/>
      <w:lang w:eastAsia="en-US"/>
    </w:rPr>
  </w:style>
  <w:style w:type="paragraph" w:styleId="Nadpis6">
    <w:name w:val="heading 6"/>
    <w:basedOn w:val="Nadpis1"/>
    <w:next w:val="Normln"/>
    <w:link w:val="Nadpis6Char"/>
    <w:qFormat/>
    <w:rsid w:val="0051727F"/>
    <w:pPr>
      <w:numPr>
        <w:ilvl w:val="5"/>
      </w:numPr>
      <w:tabs>
        <w:tab w:val="clear" w:pos="1800"/>
      </w:tabs>
      <w:ind w:left="1797" w:hanging="1797"/>
      <w:outlineLvl w:val="5"/>
    </w:pPr>
  </w:style>
  <w:style w:type="paragraph" w:styleId="Nadpis7">
    <w:name w:val="heading 7"/>
    <w:basedOn w:val="Nadpis2"/>
    <w:next w:val="Normln"/>
    <w:link w:val="Nadpis7Char"/>
    <w:qFormat/>
    <w:rsid w:val="0051727F"/>
    <w:pPr>
      <w:numPr>
        <w:ilvl w:val="6"/>
      </w:numPr>
      <w:ind w:left="283" w:hanging="283"/>
      <w:outlineLvl w:val="6"/>
    </w:pPr>
  </w:style>
  <w:style w:type="paragraph" w:styleId="Nadpis8">
    <w:name w:val="heading 8"/>
    <w:basedOn w:val="Nadpis3"/>
    <w:next w:val="Normln"/>
    <w:link w:val="Nadpis8Char"/>
    <w:qFormat/>
    <w:rsid w:val="0051727F"/>
    <w:pPr>
      <w:numPr>
        <w:ilvl w:val="7"/>
      </w:numPr>
      <w:ind w:left="283" w:hanging="283"/>
      <w:outlineLvl w:val="7"/>
    </w:pPr>
  </w:style>
  <w:style w:type="paragraph" w:styleId="Nadpis9">
    <w:name w:val="heading 9"/>
    <w:basedOn w:val="Nadpis4"/>
    <w:next w:val="Normln"/>
    <w:link w:val="Nadpis9Char"/>
    <w:qFormat/>
    <w:rsid w:val="0051727F"/>
    <w:pPr>
      <w:numPr>
        <w:ilvl w:val="8"/>
      </w:numPr>
      <w:tabs>
        <w:tab w:val="left" w:pos="360"/>
      </w:tabs>
      <w:ind w:left="283" w:hanging="283"/>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727F"/>
    <w:rPr>
      <w:rFonts w:ascii="Times New Roman" w:eastAsia="Times New Roman" w:hAnsi="Times New Roman" w:cs="Times New Roman"/>
      <w:b/>
      <w:sz w:val="28"/>
      <w:szCs w:val="20"/>
    </w:rPr>
  </w:style>
  <w:style w:type="character" w:customStyle="1" w:styleId="Nadpis2Char">
    <w:name w:val="Nadpis 2 Char"/>
    <w:basedOn w:val="Standardnpsmoodstavce"/>
    <w:link w:val="Nadpis2"/>
    <w:rsid w:val="0051727F"/>
    <w:rPr>
      <w:rFonts w:ascii="Times New Roman" w:eastAsia="Times New Roman" w:hAnsi="Times New Roman" w:cs="Times New Roman"/>
      <w:b/>
      <w:sz w:val="28"/>
      <w:szCs w:val="20"/>
    </w:rPr>
  </w:style>
  <w:style w:type="character" w:customStyle="1" w:styleId="Nadpis3Char">
    <w:name w:val="Nadpis 3 Char"/>
    <w:basedOn w:val="Standardnpsmoodstavce"/>
    <w:link w:val="Nadpis3"/>
    <w:rsid w:val="0051727F"/>
    <w:rPr>
      <w:rFonts w:ascii="Times New Roman" w:eastAsia="Times New Roman" w:hAnsi="Times New Roman" w:cs="Times New Roman"/>
      <w:b/>
      <w:szCs w:val="20"/>
    </w:rPr>
  </w:style>
  <w:style w:type="character" w:customStyle="1" w:styleId="Nadpis4Char">
    <w:name w:val="Nadpis 4 Char"/>
    <w:basedOn w:val="Standardnpsmoodstavce"/>
    <w:link w:val="Nadpis4"/>
    <w:rsid w:val="0051727F"/>
    <w:rPr>
      <w:rFonts w:ascii="Times New Roman" w:eastAsia="Times New Roman" w:hAnsi="Times New Roman" w:cs="Times New Roman"/>
      <w:szCs w:val="20"/>
    </w:rPr>
  </w:style>
  <w:style w:type="character" w:customStyle="1" w:styleId="Nadpis5Char">
    <w:name w:val="Nadpis 5 Char"/>
    <w:basedOn w:val="Standardnpsmoodstavce"/>
    <w:link w:val="Nadpis5"/>
    <w:rsid w:val="0051727F"/>
    <w:rPr>
      <w:rFonts w:ascii="Times New Roman" w:eastAsia="Times New Roman" w:hAnsi="Times New Roman" w:cs="Times New Roman"/>
      <w:szCs w:val="20"/>
    </w:rPr>
  </w:style>
  <w:style w:type="character" w:customStyle="1" w:styleId="Nadpis6Char">
    <w:name w:val="Nadpis 6 Char"/>
    <w:basedOn w:val="Standardnpsmoodstavce"/>
    <w:link w:val="Nadpis6"/>
    <w:rsid w:val="0051727F"/>
    <w:rPr>
      <w:rFonts w:ascii="Times New Roman" w:eastAsia="Times New Roman" w:hAnsi="Times New Roman" w:cs="Times New Roman"/>
      <w:b/>
      <w:sz w:val="28"/>
      <w:szCs w:val="20"/>
    </w:rPr>
  </w:style>
  <w:style w:type="character" w:customStyle="1" w:styleId="Nadpis7Char">
    <w:name w:val="Nadpis 7 Char"/>
    <w:basedOn w:val="Standardnpsmoodstavce"/>
    <w:link w:val="Nadpis7"/>
    <w:rsid w:val="0051727F"/>
    <w:rPr>
      <w:rFonts w:ascii="Times New Roman" w:eastAsia="Times New Roman" w:hAnsi="Times New Roman" w:cs="Times New Roman"/>
      <w:b/>
      <w:sz w:val="28"/>
      <w:szCs w:val="20"/>
    </w:rPr>
  </w:style>
  <w:style w:type="character" w:customStyle="1" w:styleId="Nadpis8Char">
    <w:name w:val="Nadpis 8 Char"/>
    <w:basedOn w:val="Standardnpsmoodstavce"/>
    <w:link w:val="Nadpis8"/>
    <w:rsid w:val="0051727F"/>
    <w:rPr>
      <w:rFonts w:ascii="Times New Roman" w:eastAsia="Times New Roman" w:hAnsi="Times New Roman" w:cs="Times New Roman"/>
      <w:b/>
      <w:szCs w:val="20"/>
    </w:rPr>
  </w:style>
  <w:style w:type="character" w:customStyle="1" w:styleId="Nadpis9Char">
    <w:name w:val="Nadpis 9 Char"/>
    <w:basedOn w:val="Standardnpsmoodstavce"/>
    <w:link w:val="Nadpis9"/>
    <w:rsid w:val="0051727F"/>
    <w:rPr>
      <w:rFonts w:ascii="Times New Roman" w:eastAsia="Times New Roman" w:hAnsi="Times New Roman" w:cs="Times New Roman"/>
      <w:szCs w:val="20"/>
    </w:rPr>
  </w:style>
  <w:style w:type="paragraph" w:customStyle="1" w:styleId="Tabletext">
    <w:name w:val="Table text"/>
    <w:rsid w:val="0051727F"/>
    <w:pPr>
      <w:autoSpaceDE w:val="0"/>
      <w:autoSpaceDN w:val="0"/>
      <w:spacing w:after="0" w:line="240" w:lineRule="auto"/>
    </w:pPr>
    <w:rPr>
      <w:rFonts w:ascii="Times New Roman" w:eastAsia="Times New Roman" w:hAnsi="Times New Roman" w:cs="Times New Roman"/>
      <w:noProof/>
      <w:lang w:val="en-US" w:eastAsia="cs-CZ"/>
    </w:rPr>
  </w:style>
  <w:style w:type="paragraph" w:styleId="Titulek">
    <w:name w:val="caption"/>
    <w:basedOn w:val="Normln"/>
    <w:next w:val="Normln"/>
    <w:qFormat/>
    <w:rsid w:val="0051727F"/>
    <w:pPr>
      <w:tabs>
        <w:tab w:val="left" w:pos="2552"/>
      </w:tabs>
      <w:overflowPunct w:val="0"/>
      <w:adjustRightInd w:val="0"/>
      <w:spacing w:before="120" w:after="120"/>
      <w:textAlignment w:val="baseline"/>
    </w:pPr>
    <w:rPr>
      <w:b/>
      <w:sz w:val="22"/>
      <w:szCs w:val="20"/>
      <w:lang w:eastAsia="en-US"/>
    </w:rPr>
  </w:style>
  <w:style w:type="paragraph" w:customStyle="1" w:styleId="Texttabulky">
    <w:name w:val="Text tabulky"/>
    <w:basedOn w:val="Normln"/>
    <w:rsid w:val="0051727F"/>
    <w:pPr>
      <w:overflowPunct w:val="0"/>
      <w:adjustRightInd w:val="0"/>
      <w:spacing w:before="60" w:after="60"/>
      <w:jc w:val="both"/>
      <w:textAlignment w:val="baseline"/>
    </w:pPr>
    <w:rPr>
      <w:sz w:val="20"/>
      <w:szCs w:val="20"/>
      <w:lang w:eastAsia="en-US"/>
    </w:rPr>
  </w:style>
  <w:style w:type="paragraph" w:customStyle="1" w:styleId="StyleNormalCloseAfter6pt">
    <w:name w:val="Style Normal Close + After:  6 pt"/>
    <w:basedOn w:val="Normln"/>
    <w:rsid w:val="0051727F"/>
    <w:pPr>
      <w:overflowPunct w:val="0"/>
      <w:adjustRightInd w:val="0"/>
      <w:spacing w:after="120"/>
      <w:jc w:val="both"/>
      <w:textAlignment w:val="baseline"/>
    </w:pPr>
    <w:rPr>
      <w:sz w:val="22"/>
      <w:szCs w:val="20"/>
      <w:lang w:eastAsia="en-US"/>
    </w:rPr>
  </w:style>
  <w:style w:type="paragraph" w:styleId="Podtitul">
    <w:name w:val="Subtitle"/>
    <w:basedOn w:val="Normln"/>
    <w:next w:val="Normln"/>
    <w:link w:val="PodtitulChar"/>
    <w:uiPriority w:val="11"/>
    <w:qFormat/>
    <w:rsid w:val="00BB37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B3758"/>
    <w:rPr>
      <w:rFonts w:asciiTheme="majorHAnsi" w:eastAsiaTheme="majorEastAsia" w:hAnsiTheme="majorHAnsi" w:cstheme="majorBidi"/>
      <w:i/>
      <w:iCs/>
      <w:color w:val="4F81BD" w:themeColor="accent1"/>
      <w:spacing w:val="15"/>
      <w:sz w:val="24"/>
      <w:szCs w:val="24"/>
      <w:lang w:eastAsia="cs-CZ"/>
    </w:rPr>
  </w:style>
  <w:style w:type="paragraph" w:styleId="Nzev">
    <w:name w:val="Title"/>
    <w:basedOn w:val="Normln"/>
    <w:next w:val="Normln"/>
    <w:link w:val="NzevChar"/>
    <w:uiPriority w:val="10"/>
    <w:qFormat/>
    <w:rsid w:val="00BB37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B3758"/>
    <w:rPr>
      <w:rFonts w:asciiTheme="majorHAnsi" w:eastAsiaTheme="majorEastAsia" w:hAnsiTheme="majorHAnsi" w:cstheme="majorBidi"/>
      <w:color w:val="17365D" w:themeColor="text2" w:themeShade="BF"/>
      <w:spacing w:val="5"/>
      <w:kern w:val="28"/>
      <w:sz w:val="52"/>
      <w:szCs w:val="5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727F"/>
    <w:pPr>
      <w:autoSpaceDE w:val="0"/>
      <w:autoSpaceDN w:val="0"/>
      <w:spacing w:after="0" w:line="240" w:lineRule="auto"/>
    </w:pPr>
    <w:rPr>
      <w:rFonts w:ascii="Times New Roman" w:eastAsia="Times New Roman" w:hAnsi="Times New Roman" w:cs="Times New Roman"/>
      <w:sz w:val="23"/>
      <w:szCs w:val="23"/>
      <w:lang w:eastAsia="cs-CZ"/>
    </w:rPr>
  </w:style>
  <w:style w:type="paragraph" w:styleId="Nadpis1">
    <w:name w:val="heading 1"/>
    <w:aliases w:val="t,H1"/>
    <w:basedOn w:val="Normln"/>
    <w:next w:val="Normln"/>
    <w:link w:val="Nadpis1Char"/>
    <w:qFormat/>
    <w:rsid w:val="0051727F"/>
    <w:pPr>
      <w:keepNext/>
      <w:keepLines/>
      <w:pageBreakBefore/>
      <w:numPr>
        <w:numId w:val="1"/>
      </w:numPr>
      <w:overflowPunct w:val="0"/>
      <w:adjustRightInd w:val="0"/>
      <w:spacing w:before="160" w:after="320"/>
      <w:jc w:val="both"/>
      <w:textAlignment w:val="baseline"/>
      <w:outlineLvl w:val="0"/>
    </w:pPr>
    <w:rPr>
      <w:b/>
      <w:sz w:val="28"/>
      <w:szCs w:val="20"/>
      <w:lang w:eastAsia="en-US"/>
    </w:rPr>
  </w:style>
  <w:style w:type="paragraph" w:styleId="Nadpis2">
    <w:name w:val="heading 2"/>
    <w:aliases w:val="2,sub-sect,21,sub-sect1,22,sub-sect2,23,sub-sect3,24,sub-sect4,25,sub-sect5,(1.1,1.2,1.3 etc),section header,h2,no section,H2,PA Major Section"/>
    <w:basedOn w:val="Normln"/>
    <w:next w:val="Normln"/>
    <w:link w:val="Nadpis2Char"/>
    <w:qFormat/>
    <w:rsid w:val="0051727F"/>
    <w:pPr>
      <w:keepNext/>
      <w:keepLines/>
      <w:numPr>
        <w:ilvl w:val="1"/>
        <w:numId w:val="1"/>
      </w:numPr>
      <w:overflowPunct w:val="0"/>
      <w:adjustRightInd w:val="0"/>
      <w:spacing w:before="120" w:after="300"/>
      <w:ind w:left="720" w:hanging="720"/>
      <w:jc w:val="both"/>
      <w:textAlignment w:val="baseline"/>
      <w:outlineLvl w:val="1"/>
    </w:pPr>
    <w:rPr>
      <w:b/>
      <w:sz w:val="28"/>
      <w:szCs w:val="20"/>
      <w:lang w:eastAsia="en-US"/>
    </w:rPr>
  </w:style>
  <w:style w:type="paragraph" w:styleId="Nadpis3">
    <w:name w:val="heading 3"/>
    <w:aliases w:val="h3,3,h31,31,h32,32,h33,33,h34,34,h35,35,sub-sub,sub-sub1,sub-sub2,sub-sub3,sub-sub4,sub section header,311,sub-sub11,subsect,Überschrift 3,H3,PA Minor Section"/>
    <w:basedOn w:val="Normln"/>
    <w:next w:val="Normln"/>
    <w:link w:val="Nadpis3Char"/>
    <w:qFormat/>
    <w:rsid w:val="0051727F"/>
    <w:pPr>
      <w:keepNext/>
      <w:keepLines/>
      <w:numPr>
        <w:ilvl w:val="2"/>
        <w:numId w:val="1"/>
      </w:numPr>
      <w:overflowPunct w:val="0"/>
      <w:adjustRightInd w:val="0"/>
      <w:spacing w:before="80" w:after="300"/>
      <w:ind w:left="720" w:hanging="720"/>
      <w:jc w:val="both"/>
      <w:textAlignment w:val="baseline"/>
      <w:outlineLvl w:val="2"/>
    </w:pPr>
    <w:rPr>
      <w:b/>
      <w:sz w:val="22"/>
      <w:szCs w:val="20"/>
      <w:lang w:eastAsia="en-US"/>
    </w:rPr>
  </w:style>
  <w:style w:type="paragraph" w:styleId="Nadpis4">
    <w:name w:val="heading 4"/>
    <w:aliases w:val="PA Micro Section,Schedules"/>
    <w:basedOn w:val="Normln"/>
    <w:next w:val="Normln"/>
    <w:link w:val="Nadpis4Char"/>
    <w:qFormat/>
    <w:rsid w:val="0051727F"/>
    <w:pPr>
      <w:keepNext/>
      <w:keepLines/>
      <w:numPr>
        <w:ilvl w:val="3"/>
        <w:numId w:val="1"/>
      </w:numPr>
      <w:overflowPunct w:val="0"/>
      <w:adjustRightInd w:val="0"/>
      <w:spacing w:before="40" w:after="300"/>
      <w:jc w:val="both"/>
      <w:textAlignment w:val="baseline"/>
      <w:outlineLvl w:val="3"/>
    </w:pPr>
    <w:rPr>
      <w:sz w:val="22"/>
      <w:szCs w:val="20"/>
      <w:lang w:eastAsia="en-US"/>
    </w:rPr>
  </w:style>
  <w:style w:type="paragraph" w:styleId="Nadpis5">
    <w:name w:val="heading 5"/>
    <w:basedOn w:val="Normln"/>
    <w:next w:val="Normln"/>
    <w:link w:val="Nadpis5Char"/>
    <w:qFormat/>
    <w:rsid w:val="0051727F"/>
    <w:pPr>
      <w:keepNext/>
      <w:keepLines/>
      <w:numPr>
        <w:ilvl w:val="4"/>
        <w:numId w:val="1"/>
      </w:numPr>
      <w:overflowPunct w:val="0"/>
      <w:adjustRightInd w:val="0"/>
      <w:spacing w:after="300"/>
      <w:jc w:val="both"/>
      <w:textAlignment w:val="baseline"/>
      <w:outlineLvl w:val="4"/>
    </w:pPr>
    <w:rPr>
      <w:sz w:val="22"/>
      <w:szCs w:val="20"/>
      <w:lang w:eastAsia="en-US"/>
    </w:rPr>
  </w:style>
  <w:style w:type="paragraph" w:styleId="Nadpis6">
    <w:name w:val="heading 6"/>
    <w:basedOn w:val="Nadpis1"/>
    <w:next w:val="Normln"/>
    <w:link w:val="Nadpis6Char"/>
    <w:qFormat/>
    <w:rsid w:val="0051727F"/>
    <w:pPr>
      <w:numPr>
        <w:ilvl w:val="5"/>
      </w:numPr>
      <w:tabs>
        <w:tab w:val="clear" w:pos="1800"/>
      </w:tabs>
      <w:ind w:left="1797" w:hanging="1797"/>
      <w:outlineLvl w:val="5"/>
    </w:pPr>
  </w:style>
  <w:style w:type="paragraph" w:styleId="Nadpis7">
    <w:name w:val="heading 7"/>
    <w:basedOn w:val="Nadpis2"/>
    <w:next w:val="Normln"/>
    <w:link w:val="Nadpis7Char"/>
    <w:qFormat/>
    <w:rsid w:val="0051727F"/>
    <w:pPr>
      <w:numPr>
        <w:ilvl w:val="6"/>
      </w:numPr>
      <w:ind w:left="283" w:hanging="283"/>
      <w:outlineLvl w:val="6"/>
    </w:pPr>
  </w:style>
  <w:style w:type="paragraph" w:styleId="Nadpis8">
    <w:name w:val="heading 8"/>
    <w:basedOn w:val="Nadpis3"/>
    <w:next w:val="Normln"/>
    <w:link w:val="Nadpis8Char"/>
    <w:qFormat/>
    <w:rsid w:val="0051727F"/>
    <w:pPr>
      <w:numPr>
        <w:ilvl w:val="7"/>
      </w:numPr>
      <w:ind w:left="283" w:hanging="283"/>
      <w:outlineLvl w:val="7"/>
    </w:pPr>
  </w:style>
  <w:style w:type="paragraph" w:styleId="Nadpis9">
    <w:name w:val="heading 9"/>
    <w:basedOn w:val="Nadpis4"/>
    <w:next w:val="Normln"/>
    <w:link w:val="Nadpis9Char"/>
    <w:qFormat/>
    <w:rsid w:val="0051727F"/>
    <w:pPr>
      <w:numPr>
        <w:ilvl w:val="8"/>
      </w:numPr>
      <w:tabs>
        <w:tab w:val="left" w:pos="360"/>
      </w:tabs>
      <w:ind w:left="283" w:hanging="283"/>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727F"/>
    <w:rPr>
      <w:rFonts w:ascii="Times New Roman" w:eastAsia="Times New Roman" w:hAnsi="Times New Roman" w:cs="Times New Roman"/>
      <w:b/>
      <w:sz w:val="28"/>
      <w:szCs w:val="20"/>
    </w:rPr>
  </w:style>
  <w:style w:type="character" w:customStyle="1" w:styleId="Nadpis2Char">
    <w:name w:val="Nadpis 2 Char"/>
    <w:basedOn w:val="Standardnpsmoodstavce"/>
    <w:link w:val="Nadpis2"/>
    <w:rsid w:val="0051727F"/>
    <w:rPr>
      <w:rFonts w:ascii="Times New Roman" w:eastAsia="Times New Roman" w:hAnsi="Times New Roman" w:cs="Times New Roman"/>
      <w:b/>
      <w:sz w:val="28"/>
      <w:szCs w:val="20"/>
    </w:rPr>
  </w:style>
  <w:style w:type="character" w:customStyle="1" w:styleId="Nadpis3Char">
    <w:name w:val="Nadpis 3 Char"/>
    <w:basedOn w:val="Standardnpsmoodstavce"/>
    <w:link w:val="Nadpis3"/>
    <w:rsid w:val="0051727F"/>
    <w:rPr>
      <w:rFonts w:ascii="Times New Roman" w:eastAsia="Times New Roman" w:hAnsi="Times New Roman" w:cs="Times New Roman"/>
      <w:b/>
      <w:szCs w:val="20"/>
    </w:rPr>
  </w:style>
  <w:style w:type="character" w:customStyle="1" w:styleId="Nadpis4Char">
    <w:name w:val="Nadpis 4 Char"/>
    <w:basedOn w:val="Standardnpsmoodstavce"/>
    <w:link w:val="Nadpis4"/>
    <w:rsid w:val="0051727F"/>
    <w:rPr>
      <w:rFonts w:ascii="Times New Roman" w:eastAsia="Times New Roman" w:hAnsi="Times New Roman" w:cs="Times New Roman"/>
      <w:szCs w:val="20"/>
    </w:rPr>
  </w:style>
  <w:style w:type="character" w:customStyle="1" w:styleId="Nadpis5Char">
    <w:name w:val="Nadpis 5 Char"/>
    <w:basedOn w:val="Standardnpsmoodstavce"/>
    <w:link w:val="Nadpis5"/>
    <w:rsid w:val="0051727F"/>
    <w:rPr>
      <w:rFonts w:ascii="Times New Roman" w:eastAsia="Times New Roman" w:hAnsi="Times New Roman" w:cs="Times New Roman"/>
      <w:szCs w:val="20"/>
    </w:rPr>
  </w:style>
  <w:style w:type="character" w:customStyle="1" w:styleId="Nadpis6Char">
    <w:name w:val="Nadpis 6 Char"/>
    <w:basedOn w:val="Standardnpsmoodstavce"/>
    <w:link w:val="Nadpis6"/>
    <w:rsid w:val="0051727F"/>
    <w:rPr>
      <w:rFonts w:ascii="Times New Roman" w:eastAsia="Times New Roman" w:hAnsi="Times New Roman" w:cs="Times New Roman"/>
      <w:b/>
      <w:sz w:val="28"/>
      <w:szCs w:val="20"/>
    </w:rPr>
  </w:style>
  <w:style w:type="character" w:customStyle="1" w:styleId="Nadpis7Char">
    <w:name w:val="Nadpis 7 Char"/>
    <w:basedOn w:val="Standardnpsmoodstavce"/>
    <w:link w:val="Nadpis7"/>
    <w:rsid w:val="0051727F"/>
    <w:rPr>
      <w:rFonts w:ascii="Times New Roman" w:eastAsia="Times New Roman" w:hAnsi="Times New Roman" w:cs="Times New Roman"/>
      <w:b/>
      <w:sz w:val="28"/>
      <w:szCs w:val="20"/>
    </w:rPr>
  </w:style>
  <w:style w:type="character" w:customStyle="1" w:styleId="Nadpis8Char">
    <w:name w:val="Nadpis 8 Char"/>
    <w:basedOn w:val="Standardnpsmoodstavce"/>
    <w:link w:val="Nadpis8"/>
    <w:rsid w:val="0051727F"/>
    <w:rPr>
      <w:rFonts w:ascii="Times New Roman" w:eastAsia="Times New Roman" w:hAnsi="Times New Roman" w:cs="Times New Roman"/>
      <w:b/>
      <w:szCs w:val="20"/>
    </w:rPr>
  </w:style>
  <w:style w:type="character" w:customStyle="1" w:styleId="Nadpis9Char">
    <w:name w:val="Nadpis 9 Char"/>
    <w:basedOn w:val="Standardnpsmoodstavce"/>
    <w:link w:val="Nadpis9"/>
    <w:rsid w:val="0051727F"/>
    <w:rPr>
      <w:rFonts w:ascii="Times New Roman" w:eastAsia="Times New Roman" w:hAnsi="Times New Roman" w:cs="Times New Roman"/>
      <w:szCs w:val="20"/>
    </w:rPr>
  </w:style>
  <w:style w:type="paragraph" w:customStyle="1" w:styleId="Tabletext">
    <w:name w:val="Table text"/>
    <w:rsid w:val="0051727F"/>
    <w:pPr>
      <w:autoSpaceDE w:val="0"/>
      <w:autoSpaceDN w:val="0"/>
      <w:spacing w:after="0" w:line="240" w:lineRule="auto"/>
    </w:pPr>
    <w:rPr>
      <w:rFonts w:ascii="Times New Roman" w:eastAsia="Times New Roman" w:hAnsi="Times New Roman" w:cs="Times New Roman"/>
      <w:noProof/>
      <w:lang w:val="en-US" w:eastAsia="cs-CZ"/>
    </w:rPr>
  </w:style>
  <w:style w:type="paragraph" w:styleId="Titulek">
    <w:name w:val="caption"/>
    <w:basedOn w:val="Normln"/>
    <w:next w:val="Normln"/>
    <w:qFormat/>
    <w:rsid w:val="0051727F"/>
    <w:pPr>
      <w:tabs>
        <w:tab w:val="left" w:pos="2552"/>
      </w:tabs>
      <w:overflowPunct w:val="0"/>
      <w:adjustRightInd w:val="0"/>
      <w:spacing w:before="120" w:after="120"/>
      <w:textAlignment w:val="baseline"/>
    </w:pPr>
    <w:rPr>
      <w:b/>
      <w:sz w:val="22"/>
      <w:szCs w:val="20"/>
      <w:lang w:eastAsia="en-US"/>
    </w:rPr>
  </w:style>
  <w:style w:type="paragraph" w:customStyle="1" w:styleId="Texttabulky">
    <w:name w:val="Text tabulky"/>
    <w:basedOn w:val="Normln"/>
    <w:rsid w:val="0051727F"/>
    <w:pPr>
      <w:overflowPunct w:val="0"/>
      <w:adjustRightInd w:val="0"/>
      <w:spacing w:before="60" w:after="60"/>
      <w:jc w:val="both"/>
      <w:textAlignment w:val="baseline"/>
    </w:pPr>
    <w:rPr>
      <w:sz w:val="20"/>
      <w:szCs w:val="20"/>
      <w:lang w:eastAsia="en-US"/>
    </w:rPr>
  </w:style>
  <w:style w:type="paragraph" w:customStyle="1" w:styleId="StyleNormalCloseAfter6pt">
    <w:name w:val="Style Normal Close + After:  6 pt"/>
    <w:basedOn w:val="Normln"/>
    <w:rsid w:val="0051727F"/>
    <w:pPr>
      <w:overflowPunct w:val="0"/>
      <w:adjustRightInd w:val="0"/>
      <w:spacing w:after="120"/>
      <w:jc w:val="both"/>
      <w:textAlignment w:val="baseline"/>
    </w:pPr>
    <w:rPr>
      <w:sz w:val="22"/>
      <w:szCs w:val="20"/>
      <w:lang w:eastAsia="en-US"/>
    </w:rPr>
  </w:style>
  <w:style w:type="paragraph" w:styleId="Podtitul">
    <w:name w:val="Subtitle"/>
    <w:basedOn w:val="Normln"/>
    <w:next w:val="Normln"/>
    <w:link w:val="PodtitulChar"/>
    <w:uiPriority w:val="11"/>
    <w:qFormat/>
    <w:rsid w:val="00BB37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B3758"/>
    <w:rPr>
      <w:rFonts w:asciiTheme="majorHAnsi" w:eastAsiaTheme="majorEastAsia" w:hAnsiTheme="majorHAnsi" w:cstheme="majorBidi"/>
      <w:i/>
      <w:iCs/>
      <w:color w:val="4F81BD" w:themeColor="accent1"/>
      <w:spacing w:val="15"/>
      <w:sz w:val="24"/>
      <w:szCs w:val="24"/>
      <w:lang w:eastAsia="cs-CZ"/>
    </w:rPr>
  </w:style>
  <w:style w:type="paragraph" w:styleId="Nzev">
    <w:name w:val="Title"/>
    <w:basedOn w:val="Normln"/>
    <w:next w:val="Normln"/>
    <w:link w:val="NzevChar"/>
    <w:uiPriority w:val="10"/>
    <w:qFormat/>
    <w:rsid w:val="00BB37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B3758"/>
    <w:rPr>
      <w:rFonts w:asciiTheme="majorHAnsi" w:eastAsiaTheme="majorEastAsia" w:hAnsiTheme="majorHAnsi" w:cstheme="majorBidi"/>
      <w:color w:val="17365D" w:themeColor="text2" w:themeShade="BF"/>
      <w:spacing w:val="5"/>
      <w:kern w:val="28"/>
      <w:sz w:val="52"/>
      <w:szCs w:val="5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ebmail.cz.logica.com/exchweb/bin/redir.asp?URL=http://www.w3.org/TR/xmldsig-core/" TargetMode="Externa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3826</Words>
  <Characters>22577</Characters>
  <Application>Microsoft Office Word</Application>
  <DocSecurity>0</DocSecurity>
  <Lines>188</Lines>
  <Paragraphs>52</Paragraphs>
  <ScaleCrop>false</ScaleCrop>
  <Company>OTE, a.s.</Company>
  <LinksUpToDate>false</LinksUpToDate>
  <CharactersWithSpaces>26351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Necesany</dc:creator>
  <cp:lastModifiedBy>Jakub Necesany</cp:lastModifiedBy>
  <cp:revision>5</cp:revision>
  <dcterms:created xsi:type="dcterms:W3CDTF">2013-08-07T14:13:00Z</dcterms:created>
  <dcterms:modified xsi:type="dcterms:W3CDTF">2013-08-07T14:19:00Z</dcterms:modified>
</cp:coreProperties>
</file>